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2804" w14:textId="77777777" w:rsidR="000A1C16" w:rsidRPr="000A1C16" w:rsidRDefault="000A1C16" w:rsidP="000A1C16">
      <w:pPr>
        <w:spacing w:line="340" w:lineRule="exact"/>
        <w:jc w:val="center"/>
        <w:rPr>
          <w:b/>
          <w:bCs/>
          <w:i/>
          <w:smallCaps/>
          <w:sz w:val="36"/>
        </w:rPr>
      </w:pPr>
      <w:bookmarkStart w:id="0" w:name="_GoBack"/>
      <w:bookmarkEnd w:id="0"/>
      <w:r w:rsidRPr="000A1C16">
        <w:rPr>
          <w:b/>
          <w:bCs/>
          <w:smallCaps/>
          <w:sz w:val="36"/>
        </w:rPr>
        <w:t>Faculté de droit et de Science politique</w:t>
      </w:r>
    </w:p>
    <w:p w14:paraId="5864F42C" w14:textId="77777777" w:rsidR="000A1C16" w:rsidRPr="000A1C16" w:rsidRDefault="000A1C16" w:rsidP="000A1C16">
      <w:pPr>
        <w:spacing w:line="340" w:lineRule="exact"/>
        <w:jc w:val="center"/>
        <w:rPr>
          <w:smallCaps/>
          <w:sz w:val="36"/>
        </w:rPr>
      </w:pPr>
    </w:p>
    <w:p w14:paraId="33F82A34" w14:textId="77777777" w:rsidR="000A1C16" w:rsidRPr="000A1C16" w:rsidRDefault="000A1C16" w:rsidP="000A1C16">
      <w:pPr>
        <w:spacing w:line="340" w:lineRule="exact"/>
        <w:jc w:val="center"/>
        <w:rPr>
          <w:smallCaps/>
          <w:sz w:val="36"/>
        </w:rPr>
      </w:pPr>
      <w:r>
        <w:rPr>
          <w:smallCaps/>
          <w:sz w:val="36"/>
        </w:rPr>
        <w:t>Marseille/Canebière</w:t>
      </w:r>
    </w:p>
    <w:p w14:paraId="5277EE26" w14:textId="77777777" w:rsidR="000A1C16" w:rsidRPr="000A1C16" w:rsidRDefault="000A1C16" w:rsidP="000A1C16">
      <w:pPr>
        <w:spacing w:line="340" w:lineRule="exact"/>
        <w:jc w:val="center"/>
        <w:rPr>
          <w:smallCaps/>
          <w:sz w:val="36"/>
        </w:rPr>
      </w:pPr>
    </w:p>
    <w:p w14:paraId="5DF7F8CD" w14:textId="77777777" w:rsidR="000A1C16" w:rsidRPr="000A1C16" w:rsidRDefault="000A1C16" w:rsidP="000A1C16">
      <w:pPr>
        <w:spacing w:line="340" w:lineRule="exact"/>
        <w:jc w:val="center"/>
        <w:rPr>
          <w:smallCaps/>
          <w:sz w:val="36"/>
        </w:rPr>
      </w:pPr>
      <w:r w:rsidRPr="000A1C16">
        <w:rPr>
          <w:smallCaps/>
          <w:sz w:val="36"/>
        </w:rPr>
        <w:t>Aix-Marseille Université</w:t>
      </w:r>
    </w:p>
    <w:p w14:paraId="0D10B7E1" w14:textId="77777777" w:rsidR="000A1C16" w:rsidRPr="000A1C16" w:rsidRDefault="000A1C16" w:rsidP="000A1C16">
      <w:pPr>
        <w:spacing w:line="340" w:lineRule="exact"/>
        <w:jc w:val="center"/>
        <w:rPr>
          <w:smallCaps/>
          <w:sz w:val="44"/>
        </w:rPr>
      </w:pPr>
    </w:p>
    <w:p w14:paraId="556AD953" w14:textId="77777777" w:rsidR="000A1C16" w:rsidRPr="000A1C16" w:rsidRDefault="000A1C16" w:rsidP="000A1C16">
      <w:pPr>
        <w:spacing w:line="340" w:lineRule="exact"/>
        <w:jc w:val="center"/>
        <w:rPr>
          <w:sz w:val="24"/>
        </w:rPr>
      </w:pPr>
      <w:r w:rsidRPr="000A1C16">
        <w:rPr>
          <w:sz w:val="24"/>
        </w:rPr>
        <w:t>_________________________</w:t>
      </w:r>
    </w:p>
    <w:p w14:paraId="7F2033E5" w14:textId="77777777" w:rsidR="00984127" w:rsidRPr="007E59C6" w:rsidRDefault="00984127" w:rsidP="00984127">
      <w:pPr>
        <w:spacing w:line="240" w:lineRule="auto"/>
        <w:rPr>
          <w:sz w:val="24"/>
        </w:rPr>
      </w:pPr>
    </w:p>
    <w:p w14:paraId="1173C3DE" w14:textId="2646104E" w:rsidR="00984127" w:rsidRPr="007E59C6" w:rsidRDefault="002568EC" w:rsidP="00984127">
      <w:pPr>
        <w:pStyle w:val="Titre1"/>
        <w:spacing w:before="0" w:after="0" w:line="360" w:lineRule="auto"/>
        <w:jc w:val="center"/>
        <w:rPr>
          <w:rFonts w:ascii="Garamond" w:hAnsi="Garamond"/>
          <w:b w:val="0"/>
          <w:smallCaps/>
          <w:sz w:val="28"/>
          <w:szCs w:val="28"/>
        </w:rPr>
      </w:pPr>
      <w:r>
        <w:rPr>
          <w:rFonts w:ascii="Garamond" w:hAnsi="Garamond"/>
          <w:b w:val="0"/>
          <w:smallCaps/>
          <w:sz w:val="28"/>
          <w:szCs w:val="28"/>
        </w:rPr>
        <w:t xml:space="preserve">L’ordre </w:t>
      </w:r>
      <w:r w:rsidR="000A1C16">
        <w:rPr>
          <w:rFonts w:ascii="Garamond" w:hAnsi="Garamond"/>
          <w:b w:val="0"/>
          <w:smallCaps/>
          <w:sz w:val="28"/>
          <w:szCs w:val="28"/>
        </w:rPr>
        <w:t xml:space="preserve">constitutionnel </w:t>
      </w:r>
      <w:r>
        <w:rPr>
          <w:rFonts w:ascii="Garamond" w:hAnsi="Garamond"/>
          <w:b w:val="0"/>
          <w:smallCaps/>
          <w:sz w:val="28"/>
          <w:szCs w:val="28"/>
        </w:rPr>
        <w:t xml:space="preserve">et la production </w:t>
      </w:r>
      <w:r w:rsidR="007D0D10">
        <w:rPr>
          <w:rFonts w:ascii="Garamond" w:hAnsi="Garamond"/>
          <w:b w:val="0"/>
          <w:smallCaps/>
          <w:sz w:val="28"/>
          <w:szCs w:val="28"/>
        </w:rPr>
        <w:t>des normes</w:t>
      </w:r>
    </w:p>
    <w:p w14:paraId="212DCFE0" w14:textId="77777777" w:rsidR="00984127" w:rsidRDefault="000A1C16" w:rsidP="00984127">
      <w:pPr>
        <w:spacing w:line="240" w:lineRule="auto"/>
        <w:jc w:val="center"/>
        <w:rPr>
          <w:sz w:val="24"/>
        </w:rPr>
      </w:pPr>
      <w:r w:rsidRPr="000A1C16">
        <w:rPr>
          <w:sz w:val="24"/>
        </w:rPr>
        <w:t xml:space="preserve">Cours du Professeur Xavier </w:t>
      </w:r>
      <w:proofErr w:type="spellStart"/>
      <w:r w:rsidRPr="000A1C16">
        <w:rPr>
          <w:sz w:val="24"/>
        </w:rPr>
        <w:t>Magnon</w:t>
      </w:r>
      <w:proofErr w:type="spellEnd"/>
    </w:p>
    <w:p w14:paraId="758C8F00" w14:textId="77777777" w:rsidR="000A1C16" w:rsidRPr="007E59C6" w:rsidRDefault="000A1C16" w:rsidP="00984127">
      <w:pPr>
        <w:spacing w:line="240" w:lineRule="auto"/>
        <w:jc w:val="center"/>
        <w:rPr>
          <w:sz w:val="24"/>
        </w:rPr>
      </w:pPr>
    </w:p>
    <w:p w14:paraId="2C56EFE8" w14:textId="77777777" w:rsidR="00984127" w:rsidRPr="007E59C6" w:rsidRDefault="000A1C16" w:rsidP="00984127">
      <w:pPr>
        <w:spacing w:line="240" w:lineRule="auto"/>
        <w:jc w:val="center"/>
        <w:rPr>
          <w:sz w:val="24"/>
        </w:rPr>
      </w:pPr>
      <w:r>
        <w:rPr>
          <w:sz w:val="24"/>
        </w:rPr>
        <w:t>Licence 2</w:t>
      </w:r>
      <w:r w:rsidR="00984127" w:rsidRPr="007E59C6">
        <w:rPr>
          <w:sz w:val="24"/>
        </w:rPr>
        <w:t xml:space="preserve"> de Droit</w:t>
      </w:r>
    </w:p>
    <w:p w14:paraId="1E3E6955" w14:textId="77777777" w:rsidR="00984127" w:rsidRPr="007E59C6" w:rsidRDefault="000A1C16" w:rsidP="00984127">
      <w:pPr>
        <w:spacing w:line="240" w:lineRule="auto"/>
        <w:jc w:val="center"/>
        <w:rPr>
          <w:sz w:val="24"/>
        </w:rPr>
      </w:pPr>
      <w:r>
        <w:rPr>
          <w:sz w:val="24"/>
        </w:rPr>
        <w:t>Semestre 1</w:t>
      </w:r>
    </w:p>
    <w:p w14:paraId="5B5B9162" w14:textId="15C6356D" w:rsidR="00984127" w:rsidRPr="007E59C6" w:rsidRDefault="006E4546" w:rsidP="00984127">
      <w:pPr>
        <w:spacing w:line="240" w:lineRule="auto"/>
        <w:jc w:val="center"/>
        <w:rPr>
          <w:sz w:val="24"/>
        </w:rPr>
      </w:pPr>
      <w:r>
        <w:rPr>
          <w:sz w:val="24"/>
        </w:rPr>
        <w:t>2019-2020</w:t>
      </w:r>
    </w:p>
    <w:p w14:paraId="62E53C95" w14:textId="77777777" w:rsidR="00984127" w:rsidRPr="007E59C6" w:rsidRDefault="00984127" w:rsidP="00984127">
      <w:pPr>
        <w:spacing w:line="240" w:lineRule="auto"/>
        <w:jc w:val="center"/>
        <w:rPr>
          <w:sz w:val="24"/>
        </w:rPr>
      </w:pPr>
    </w:p>
    <w:p w14:paraId="0F52141F" w14:textId="77777777" w:rsidR="00984127" w:rsidRPr="007E59C6" w:rsidRDefault="00984127" w:rsidP="00984127">
      <w:pPr>
        <w:spacing w:line="240" w:lineRule="auto"/>
        <w:jc w:val="center"/>
        <w:rPr>
          <w:sz w:val="24"/>
        </w:rPr>
      </w:pPr>
    </w:p>
    <w:p w14:paraId="5ADAA3A1" w14:textId="77777777" w:rsidR="00984127" w:rsidRPr="007E59C6" w:rsidRDefault="00984127" w:rsidP="00984127">
      <w:pPr>
        <w:spacing w:line="240" w:lineRule="auto"/>
        <w:jc w:val="center"/>
        <w:rPr>
          <w:sz w:val="24"/>
        </w:rPr>
      </w:pPr>
    </w:p>
    <w:p w14:paraId="10C44470" w14:textId="77777777" w:rsidR="00984127" w:rsidRPr="007E59C6" w:rsidRDefault="00984127" w:rsidP="00984127">
      <w:pPr>
        <w:spacing w:line="240" w:lineRule="auto"/>
        <w:jc w:val="center"/>
        <w:rPr>
          <w:sz w:val="24"/>
        </w:rPr>
      </w:pPr>
      <w:r w:rsidRPr="007E59C6">
        <w:rPr>
          <w:sz w:val="24"/>
        </w:rPr>
        <w:t>_____________</w:t>
      </w:r>
    </w:p>
    <w:p w14:paraId="54823435" w14:textId="77777777" w:rsidR="00984127" w:rsidRPr="007E59C6" w:rsidRDefault="00984127" w:rsidP="00984127">
      <w:pPr>
        <w:spacing w:line="240" w:lineRule="auto"/>
        <w:jc w:val="center"/>
        <w:rPr>
          <w:sz w:val="24"/>
        </w:rPr>
      </w:pPr>
    </w:p>
    <w:p w14:paraId="2219C5F3" w14:textId="77777777" w:rsidR="00984127" w:rsidRPr="007E59C6" w:rsidRDefault="00984127" w:rsidP="00984127">
      <w:pPr>
        <w:spacing w:line="240" w:lineRule="auto"/>
        <w:jc w:val="center"/>
        <w:rPr>
          <w:smallCaps/>
          <w:sz w:val="24"/>
        </w:rPr>
      </w:pPr>
      <w:r w:rsidRPr="007E59C6">
        <w:rPr>
          <w:smallCaps/>
          <w:sz w:val="24"/>
        </w:rPr>
        <w:t>Plan du cours</w:t>
      </w:r>
    </w:p>
    <w:p w14:paraId="51CBB5F2" w14:textId="77777777" w:rsidR="00984127" w:rsidRPr="007E59C6" w:rsidRDefault="00984127" w:rsidP="00984127">
      <w:pPr>
        <w:spacing w:line="240" w:lineRule="auto"/>
        <w:jc w:val="center"/>
        <w:rPr>
          <w:smallCaps/>
          <w:sz w:val="24"/>
        </w:rPr>
      </w:pPr>
    </w:p>
    <w:p w14:paraId="0F0FE760" w14:textId="77777777" w:rsidR="00984127" w:rsidRPr="007E59C6" w:rsidRDefault="00984127" w:rsidP="00984127">
      <w:pPr>
        <w:spacing w:line="240" w:lineRule="auto"/>
        <w:jc w:val="center"/>
        <w:rPr>
          <w:smallCaps/>
          <w:sz w:val="24"/>
        </w:rPr>
      </w:pPr>
      <w:r w:rsidRPr="007E59C6">
        <w:rPr>
          <w:smallCaps/>
          <w:sz w:val="24"/>
        </w:rPr>
        <w:t>_____________</w:t>
      </w:r>
    </w:p>
    <w:p w14:paraId="702BF4E9" w14:textId="77777777" w:rsidR="00984127" w:rsidRDefault="00984127" w:rsidP="00984127">
      <w:pPr>
        <w:spacing w:line="240" w:lineRule="auto"/>
        <w:rPr>
          <w:sz w:val="24"/>
        </w:rPr>
      </w:pPr>
    </w:p>
    <w:p w14:paraId="615F80D5" w14:textId="77777777" w:rsidR="007D0D10" w:rsidRPr="00DD59A6" w:rsidRDefault="007D0D10" w:rsidP="007D0D10">
      <w:pPr>
        <w:spacing w:line="240" w:lineRule="auto"/>
        <w:rPr>
          <w:smallCaps/>
          <w:sz w:val="24"/>
        </w:rPr>
      </w:pPr>
      <w:r w:rsidRPr="00DD59A6">
        <w:rPr>
          <w:smallCaps/>
          <w:sz w:val="24"/>
        </w:rPr>
        <w:t>Introduction</w:t>
      </w:r>
    </w:p>
    <w:p w14:paraId="27DE64B1" w14:textId="77777777" w:rsidR="001B230B" w:rsidRDefault="001B230B" w:rsidP="00984127">
      <w:pPr>
        <w:spacing w:line="240" w:lineRule="auto"/>
        <w:rPr>
          <w:sz w:val="24"/>
        </w:rPr>
      </w:pPr>
    </w:p>
    <w:p w14:paraId="19C990B4" w14:textId="77777777" w:rsidR="007D0D10" w:rsidRPr="00875DE1" w:rsidRDefault="00F730F6" w:rsidP="007D0D10">
      <w:pPr>
        <w:spacing w:line="240" w:lineRule="auto"/>
        <w:rPr>
          <w:rFonts w:ascii="Arial" w:hAnsi="Arial" w:cs="Arial"/>
          <w:sz w:val="24"/>
        </w:rPr>
      </w:pPr>
      <w:r w:rsidRPr="00875DE1">
        <w:rPr>
          <w:rFonts w:ascii="Arial" w:hAnsi="Arial" w:cs="Arial"/>
          <w:sz w:val="24"/>
        </w:rPr>
        <w:t>-</w:t>
      </w:r>
      <w:r w:rsidR="007D0D10" w:rsidRPr="00875DE1">
        <w:rPr>
          <w:rFonts w:ascii="Arial" w:hAnsi="Arial" w:cs="Arial"/>
          <w:sz w:val="24"/>
        </w:rPr>
        <w:t xml:space="preserve"> Bref rappel : qu’est-ce que le « droit constitutionnel » ? Un obje</w:t>
      </w:r>
      <w:r w:rsidR="00C14F9C">
        <w:rPr>
          <w:rFonts w:ascii="Arial" w:hAnsi="Arial" w:cs="Arial"/>
          <w:sz w:val="24"/>
        </w:rPr>
        <w:t>t et un discours sur cet objet.</w:t>
      </w:r>
    </w:p>
    <w:p w14:paraId="64C0F7EB" w14:textId="77777777" w:rsidR="007D0D10" w:rsidRDefault="007D0D10" w:rsidP="007D0D10">
      <w:pPr>
        <w:spacing w:line="240" w:lineRule="auto"/>
        <w:rPr>
          <w:i/>
          <w:sz w:val="24"/>
          <w:u w:val="single"/>
        </w:rPr>
      </w:pPr>
    </w:p>
    <w:p w14:paraId="59F3EADB" w14:textId="77777777" w:rsidR="007D0D10" w:rsidRPr="009F6EA7" w:rsidRDefault="007D0D10" w:rsidP="007D0D10">
      <w:pPr>
        <w:spacing w:line="240" w:lineRule="auto"/>
        <w:rPr>
          <w:sz w:val="24"/>
          <w:u w:val="single"/>
        </w:rPr>
      </w:pPr>
      <w:r w:rsidRPr="009F6EA7">
        <w:rPr>
          <w:sz w:val="24"/>
          <w:u w:val="single"/>
        </w:rPr>
        <w:t>Bibliographie indicative :</w:t>
      </w:r>
    </w:p>
    <w:p w14:paraId="7D85B064" w14:textId="77777777" w:rsidR="007D0D10" w:rsidRPr="009F6EA7" w:rsidRDefault="007D0D10" w:rsidP="007D0D10">
      <w:pPr>
        <w:spacing w:line="240" w:lineRule="auto"/>
        <w:rPr>
          <w:sz w:val="24"/>
        </w:rPr>
      </w:pPr>
      <w:r w:rsidRPr="003C397A">
        <w:rPr>
          <w:smallCaps/>
          <w:sz w:val="24"/>
        </w:rPr>
        <w:t>Favoreu (L.),</w:t>
      </w:r>
      <w:r w:rsidRPr="009F6EA7">
        <w:rPr>
          <w:sz w:val="24"/>
        </w:rPr>
        <w:t xml:space="preserve"> « Le droit constitutionnel, droit de la Constitution et constitution du droit », </w:t>
      </w:r>
      <w:r w:rsidRPr="009F6EA7">
        <w:rPr>
          <w:i/>
          <w:sz w:val="24"/>
        </w:rPr>
        <w:t>RFDC</w:t>
      </w:r>
      <w:r w:rsidRPr="009F6EA7">
        <w:rPr>
          <w:sz w:val="24"/>
        </w:rPr>
        <w:t>, 1990, n° 1, pp. 71-89.</w:t>
      </w:r>
    </w:p>
    <w:p w14:paraId="0CCCEE8F" w14:textId="77777777" w:rsidR="007D0D10" w:rsidRPr="009F6EA7" w:rsidRDefault="007D0D10" w:rsidP="007D0D10">
      <w:pPr>
        <w:spacing w:line="240" w:lineRule="auto"/>
        <w:rPr>
          <w:sz w:val="24"/>
        </w:rPr>
      </w:pPr>
      <w:proofErr w:type="spellStart"/>
      <w:r w:rsidRPr="003C397A">
        <w:rPr>
          <w:smallCaps/>
          <w:sz w:val="24"/>
        </w:rPr>
        <w:t>Pimentel</w:t>
      </w:r>
      <w:proofErr w:type="spellEnd"/>
      <w:r w:rsidRPr="003C397A">
        <w:rPr>
          <w:smallCaps/>
          <w:sz w:val="24"/>
        </w:rPr>
        <w:t xml:space="preserve"> </w:t>
      </w:r>
      <w:r w:rsidRPr="009F6EA7">
        <w:rPr>
          <w:sz w:val="24"/>
        </w:rPr>
        <w:t xml:space="preserve">(C.-M.), « Reconnaissance et désaveu : contribution à une théorie du droit politique », </w:t>
      </w:r>
      <w:r w:rsidRPr="009F6EA7">
        <w:rPr>
          <w:i/>
          <w:sz w:val="24"/>
        </w:rPr>
        <w:t xml:space="preserve">Jus </w:t>
      </w:r>
      <w:proofErr w:type="spellStart"/>
      <w:r w:rsidRPr="009F6EA7">
        <w:rPr>
          <w:i/>
          <w:sz w:val="24"/>
        </w:rPr>
        <w:t>politicum</w:t>
      </w:r>
      <w:proofErr w:type="spellEnd"/>
      <w:r w:rsidRPr="009F6EA7">
        <w:rPr>
          <w:sz w:val="24"/>
        </w:rPr>
        <w:t>, n° 1, 2008, http://juspoliticum.com/Essai-de-Pim-s.html</w:t>
      </w:r>
    </w:p>
    <w:p w14:paraId="2CE88BBD" w14:textId="77777777" w:rsidR="007D0D10" w:rsidRPr="009F6EA7" w:rsidRDefault="007D0D10" w:rsidP="007D0D10">
      <w:pPr>
        <w:spacing w:line="240" w:lineRule="auto"/>
        <w:rPr>
          <w:sz w:val="24"/>
        </w:rPr>
      </w:pPr>
      <w:proofErr w:type="spellStart"/>
      <w:r w:rsidRPr="003C397A">
        <w:rPr>
          <w:smallCaps/>
          <w:sz w:val="24"/>
        </w:rPr>
        <w:t>Troper</w:t>
      </w:r>
      <w:proofErr w:type="spellEnd"/>
      <w:r w:rsidRPr="009F6EA7">
        <w:rPr>
          <w:sz w:val="24"/>
        </w:rPr>
        <w:t xml:space="preserve"> (M.), « Science du droit et dogmatique juridique », in M. </w:t>
      </w:r>
      <w:proofErr w:type="spellStart"/>
      <w:r w:rsidRPr="009F6EA7">
        <w:rPr>
          <w:sz w:val="24"/>
        </w:rPr>
        <w:t>Troper</w:t>
      </w:r>
      <w:proofErr w:type="spellEnd"/>
      <w:r w:rsidRPr="009F6EA7">
        <w:rPr>
          <w:sz w:val="24"/>
        </w:rPr>
        <w:t xml:space="preserve">, </w:t>
      </w:r>
      <w:r w:rsidRPr="009F6EA7">
        <w:rPr>
          <w:i/>
          <w:sz w:val="24"/>
        </w:rPr>
        <w:t>La Théorie du droit, le droit, l’</w:t>
      </w:r>
      <w:proofErr w:type="spellStart"/>
      <w:r w:rsidRPr="009F6EA7">
        <w:rPr>
          <w:i/>
          <w:sz w:val="24"/>
        </w:rPr>
        <w:t>Etat</w:t>
      </w:r>
      <w:proofErr w:type="spellEnd"/>
      <w:r w:rsidRPr="009F6EA7">
        <w:rPr>
          <w:sz w:val="24"/>
        </w:rPr>
        <w:t xml:space="preserve">, </w:t>
      </w:r>
      <w:proofErr w:type="spellStart"/>
      <w:r w:rsidRPr="009F6EA7">
        <w:rPr>
          <w:sz w:val="24"/>
        </w:rPr>
        <w:t>Leviathan</w:t>
      </w:r>
      <w:proofErr w:type="spellEnd"/>
      <w:r w:rsidRPr="009F6EA7">
        <w:rPr>
          <w:sz w:val="24"/>
        </w:rPr>
        <w:t>, PUF, 2001, pp. 3-18.</w:t>
      </w:r>
    </w:p>
    <w:p w14:paraId="70459671" w14:textId="77777777" w:rsidR="007D0D10" w:rsidRDefault="007D0D10" w:rsidP="007D0D10">
      <w:pPr>
        <w:spacing w:line="240" w:lineRule="auto"/>
        <w:rPr>
          <w:i/>
          <w:sz w:val="24"/>
        </w:rPr>
      </w:pPr>
    </w:p>
    <w:p w14:paraId="38A96383" w14:textId="71FC07D1" w:rsidR="007D0D10" w:rsidRPr="00875DE1" w:rsidRDefault="00F730F6" w:rsidP="007D0D10">
      <w:pPr>
        <w:spacing w:line="240" w:lineRule="auto"/>
        <w:rPr>
          <w:rFonts w:ascii="Arial" w:hAnsi="Arial" w:cs="Arial"/>
          <w:sz w:val="24"/>
        </w:rPr>
      </w:pPr>
      <w:r w:rsidRPr="00875DE1">
        <w:rPr>
          <w:rFonts w:ascii="Arial" w:hAnsi="Arial" w:cs="Arial"/>
          <w:sz w:val="24"/>
        </w:rPr>
        <w:t>-</w:t>
      </w:r>
      <w:r w:rsidR="007D0D10" w:rsidRPr="00875DE1">
        <w:rPr>
          <w:rFonts w:ascii="Arial" w:hAnsi="Arial" w:cs="Arial"/>
          <w:sz w:val="24"/>
        </w:rPr>
        <w:t xml:space="preserve"> </w:t>
      </w:r>
      <w:r w:rsidR="005944CC" w:rsidRPr="00875DE1">
        <w:rPr>
          <w:rFonts w:ascii="Arial" w:hAnsi="Arial" w:cs="Arial"/>
          <w:sz w:val="24"/>
        </w:rPr>
        <w:t>Qu’est-ce que</w:t>
      </w:r>
      <w:r w:rsidR="001E323C">
        <w:rPr>
          <w:rFonts w:ascii="Arial" w:hAnsi="Arial" w:cs="Arial"/>
          <w:sz w:val="24"/>
        </w:rPr>
        <w:t xml:space="preserve"> </w:t>
      </w:r>
      <w:r w:rsidR="007D0D10" w:rsidRPr="00875DE1">
        <w:rPr>
          <w:rFonts w:ascii="Arial" w:hAnsi="Arial" w:cs="Arial"/>
          <w:sz w:val="24"/>
        </w:rPr>
        <w:t>« </w:t>
      </w:r>
      <w:r w:rsidR="001E323C">
        <w:rPr>
          <w:rFonts w:ascii="Arial" w:hAnsi="Arial" w:cs="Arial"/>
          <w:sz w:val="24"/>
        </w:rPr>
        <w:t>l’ordre constitutionnel et la production des normes</w:t>
      </w:r>
      <w:r w:rsidR="007D0D10" w:rsidRPr="00875DE1">
        <w:rPr>
          <w:rFonts w:ascii="Arial" w:hAnsi="Arial" w:cs="Arial"/>
          <w:sz w:val="24"/>
        </w:rPr>
        <w:t> » ?</w:t>
      </w:r>
    </w:p>
    <w:p w14:paraId="555B792C" w14:textId="77777777" w:rsidR="007D0D10" w:rsidRPr="007D0D10" w:rsidRDefault="007D0D10" w:rsidP="007D0D10">
      <w:pPr>
        <w:spacing w:line="240" w:lineRule="auto"/>
        <w:rPr>
          <w:sz w:val="24"/>
        </w:rPr>
      </w:pPr>
    </w:p>
    <w:p w14:paraId="31446BFF" w14:textId="2B3F4B88" w:rsidR="007D0D10" w:rsidRPr="00875DE1" w:rsidRDefault="00F730F6" w:rsidP="007D0D10">
      <w:pPr>
        <w:spacing w:line="240" w:lineRule="auto"/>
        <w:rPr>
          <w:rFonts w:ascii="Arial" w:hAnsi="Arial" w:cs="Arial"/>
          <w:sz w:val="24"/>
        </w:rPr>
      </w:pPr>
      <w:r w:rsidRPr="00875DE1">
        <w:rPr>
          <w:rFonts w:ascii="Arial" w:hAnsi="Arial" w:cs="Arial"/>
          <w:sz w:val="24"/>
        </w:rPr>
        <w:t>-</w:t>
      </w:r>
      <w:r w:rsidR="007D0D10" w:rsidRPr="00875DE1">
        <w:rPr>
          <w:rFonts w:ascii="Arial" w:hAnsi="Arial" w:cs="Arial"/>
          <w:sz w:val="24"/>
        </w:rPr>
        <w:t xml:space="preserve"> Qu’est-ce que ce cours </w:t>
      </w:r>
      <w:r w:rsidR="001E323C">
        <w:rPr>
          <w:rFonts w:ascii="Arial" w:hAnsi="Arial" w:cs="Arial"/>
          <w:sz w:val="24"/>
        </w:rPr>
        <w:t xml:space="preserve">sur </w:t>
      </w:r>
      <w:r w:rsidR="001E323C" w:rsidRPr="00875DE1">
        <w:rPr>
          <w:rFonts w:ascii="Arial" w:hAnsi="Arial" w:cs="Arial"/>
          <w:sz w:val="24"/>
        </w:rPr>
        <w:t>« </w:t>
      </w:r>
      <w:r w:rsidR="001E323C">
        <w:rPr>
          <w:rFonts w:ascii="Arial" w:hAnsi="Arial" w:cs="Arial"/>
          <w:sz w:val="24"/>
        </w:rPr>
        <w:t>l’ordre constitutionnel et la production des normes</w:t>
      </w:r>
      <w:r w:rsidR="001E323C" w:rsidRPr="00875DE1">
        <w:rPr>
          <w:rFonts w:ascii="Arial" w:hAnsi="Arial" w:cs="Arial"/>
          <w:sz w:val="24"/>
        </w:rPr>
        <w:t> » </w:t>
      </w:r>
      <w:r w:rsidR="007D0D10" w:rsidRPr="00875DE1">
        <w:rPr>
          <w:rFonts w:ascii="Arial" w:hAnsi="Arial" w:cs="Arial"/>
          <w:sz w:val="24"/>
        </w:rPr>
        <w:t>?</w:t>
      </w:r>
    </w:p>
    <w:p w14:paraId="28EFD567" w14:textId="77777777" w:rsidR="007D0D10" w:rsidRPr="007D0D10" w:rsidRDefault="007D0D10" w:rsidP="007D0D10">
      <w:pPr>
        <w:spacing w:line="240" w:lineRule="auto"/>
        <w:rPr>
          <w:sz w:val="24"/>
        </w:rPr>
      </w:pPr>
    </w:p>
    <w:p w14:paraId="13DA9A00" w14:textId="77777777" w:rsidR="007D0D10" w:rsidRPr="007D0D10" w:rsidRDefault="007D0D10" w:rsidP="007D0D10">
      <w:pPr>
        <w:spacing w:line="240" w:lineRule="auto"/>
        <w:rPr>
          <w:sz w:val="24"/>
        </w:rPr>
      </w:pPr>
      <w:proofErr w:type="spellStart"/>
      <w:r w:rsidRPr="007D0D10">
        <w:rPr>
          <w:sz w:val="24"/>
        </w:rPr>
        <w:t>Etude</w:t>
      </w:r>
      <w:proofErr w:type="spellEnd"/>
      <w:r w:rsidRPr="007D0D10">
        <w:rPr>
          <w:sz w:val="24"/>
        </w:rPr>
        <w:t xml:space="preserve"> du droit constitutionnel </w:t>
      </w:r>
      <w:r>
        <w:rPr>
          <w:sz w:val="24"/>
        </w:rPr>
        <w:t>des normes</w:t>
      </w:r>
      <w:r w:rsidRPr="007D0D10">
        <w:rPr>
          <w:sz w:val="24"/>
        </w:rPr>
        <w:t xml:space="preserve"> autour </w:t>
      </w:r>
      <w:r>
        <w:rPr>
          <w:sz w:val="24"/>
        </w:rPr>
        <w:t xml:space="preserve">d’une problématique, </w:t>
      </w:r>
      <w:r w:rsidRPr="007D0D10">
        <w:rPr>
          <w:sz w:val="24"/>
        </w:rPr>
        <w:t>de questions, de l’étude de cas.</w:t>
      </w:r>
    </w:p>
    <w:p w14:paraId="4452B3B6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Structure générale autour de chaque question :</w:t>
      </w:r>
    </w:p>
    <w:p w14:paraId="33C5326C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- Question abordée</w:t>
      </w:r>
    </w:p>
    <w:p w14:paraId="2F2C22E4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- Dispositions constitutionnelles de référence</w:t>
      </w:r>
    </w:p>
    <w:p w14:paraId="4B434D82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- Jurisprudence de référence</w:t>
      </w:r>
    </w:p>
    <w:p w14:paraId="70015568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- Références bibliographiques</w:t>
      </w:r>
    </w:p>
    <w:p w14:paraId="7E36672C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lastRenderedPageBreak/>
        <w:t xml:space="preserve">- Problématique générale et connaissances en lien avec la problématique </w:t>
      </w:r>
    </w:p>
    <w:p w14:paraId="0820EE83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</w:rPr>
        <w:t>- Thèse pro</w:t>
      </w:r>
      <w:r w:rsidRPr="007D0D10">
        <w:rPr>
          <w:sz w:val="24"/>
        </w:rPr>
        <w:t xml:space="preserve"> : </w:t>
      </w:r>
    </w:p>
    <w:p w14:paraId="726ABDE0" w14:textId="77777777" w:rsidR="007D0D10" w:rsidRPr="007D0D10" w:rsidRDefault="007D0D10" w:rsidP="007D0D10">
      <w:pPr>
        <w:spacing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0403339D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09DFBD9E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677A16FC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</w:rPr>
        <w:t>- Thèse contra</w:t>
      </w:r>
      <w:r w:rsidRPr="007D0D10">
        <w:rPr>
          <w:sz w:val="24"/>
        </w:rPr>
        <w:t xml:space="preserve"> : </w:t>
      </w:r>
    </w:p>
    <w:p w14:paraId="51D0B16A" w14:textId="77777777" w:rsidR="007D0D10" w:rsidRPr="007D0D10" w:rsidRDefault="007D0D10" w:rsidP="007D0D10">
      <w:pPr>
        <w:spacing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4E33109D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18114076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68E2B825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</w:rPr>
        <w:t>- Situer les deux thèses…</w:t>
      </w:r>
    </w:p>
    <w:p w14:paraId="5CBF5601" w14:textId="77777777" w:rsidR="007D0D10" w:rsidRPr="007D0D10" w:rsidRDefault="007D0D10" w:rsidP="007D0D10">
      <w:pPr>
        <w:spacing w:line="240" w:lineRule="auto"/>
        <w:rPr>
          <w:sz w:val="24"/>
        </w:rPr>
      </w:pPr>
    </w:p>
    <w:p w14:paraId="33535A27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sz w:val="24"/>
          <w:u w:val="single"/>
        </w:rPr>
        <w:t>Exemple de question</w:t>
      </w:r>
      <w:r w:rsidRPr="007D0D10">
        <w:rPr>
          <w:sz w:val="24"/>
        </w:rPr>
        <w:t> : le Président de la République doit-il signer les décrets et ordonnances délibérés en conseil des ministres ?</w:t>
      </w:r>
    </w:p>
    <w:p w14:paraId="1FB65254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</w:rPr>
        <w:t>Pro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 xml:space="preserve">doit </w:t>
      </w:r>
      <w:r w:rsidRPr="007D0D10">
        <w:rPr>
          <w:sz w:val="24"/>
        </w:rPr>
        <w:t>signer les décrets et ordonnances délibérées en conseil des ministres</w:t>
      </w:r>
    </w:p>
    <w:p w14:paraId="308110EC" w14:textId="77777777" w:rsidR="007D0D10" w:rsidRPr="007D0D10" w:rsidRDefault="007D0D10" w:rsidP="007D0D10">
      <w:pPr>
        <w:spacing w:line="240" w:lineRule="auto"/>
        <w:rPr>
          <w:sz w:val="24"/>
        </w:rPr>
      </w:pPr>
      <w:r w:rsidRPr="007D0D10">
        <w:rPr>
          <w:i/>
          <w:sz w:val="24"/>
        </w:rPr>
        <w:t>Contra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>peut</w:t>
      </w:r>
      <w:r w:rsidRPr="007D0D10">
        <w:rPr>
          <w:sz w:val="24"/>
        </w:rPr>
        <w:t xml:space="preserve"> signer les décrets et ordonnances délibérées en conseil des ministres</w:t>
      </w:r>
    </w:p>
    <w:p w14:paraId="6272EE3F" w14:textId="77777777" w:rsidR="007D0D10" w:rsidRDefault="007D0D10" w:rsidP="007D0D10">
      <w:pPr>
        <w:spacing w:line="240" w:lineRule="auto"/>
        <w:rPr>
          <w:sz w:val="24"/>
        </w:rPr>
      </w:pPr>
    </w:p>
    <w:p w14:paraId="6E2ACFC9" w14:textId="77777777" w:rsidR="00875DE1" w:rsidRDefault="00875DE1" w:rsidP="007D0D10">
      <w:pPr>
        <w:spacing w:line="240" w:lineRule="auto"/>
        <w:rPr>
          <w:sz w:val="24"/>
        </w:rPr>
      </w:pPr>
    </w:p>
    <w:p w14:paraId="7B72373F" w14:textId="77777777" w:rsidR="00F730F6" w:rsidRPr="005944CC" w:rsidRDefault="00FA1E33" w:rsidP="00F730F6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Première partie :</w:t>
      </w:r>
    </w:p>
    <w:p w14:paraId="67BE5502" w14:textId="77777777" w:rsidR="00F730F6" w:rsidRPr="005944CC" w:rsidRDefault="00F730F6" w:rsidP="00F730F6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U</w:t>
      </w:r>
      <w:r w:rsidR="007D0D10" w:rsidRPr="005944CC">
        <w:rPr>
          <w:smallCaps/>
          <w:sz w:val="28"/>
          <w:szCs w:val="28"/>
        </w:rPr>
        <w:t>ne approche théorique :</w:t>
      </w:r>
    </w:p>
    <w:p w14:paraId="0BD027F0" w14:textId="77777777" w:rsidR="007D0D10" w:rsidRPr="005944CC" w:rsidRDefault="007D0D10" w:rsidP="00F730F6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les normes juridiques en général</w:t>
      </w:r>
    </w:p>
    <w:p w14:paraId="4B98DF7A" w14:textId="77777777" w:rsidR="00F730F6" w:rsidRDefault="00F730F6" w:rsidP="00F730F6">
      <w:pPr>
        <w:spacing w:line="240" w:lineRule="auto"/>
        <w:jc w:val="center"/>
        <w:rPr>
          <w:sz w:val="24"/>
        </w:rPr>
      </w:pPr>
    </w:p>
    <w:p w14:paraId="42C23B7D" w14:textId="77777777" w:rsidR="00875DE1" w:rsidRDefault="00875DE1" w:rsidP="00F730F6">
      <w:pPr>
        <w:spacing w:line="240" w:lineRule="auto"/>
        <w:jc w:val="center"/>
        <w:rPr>
          <w:sz w:val="24"/>
        </w:rPr>
      </w:pPr>
    </w:p>
    <w:p w14:paraId="30710107" w14:textId="77777777" w:rsidR="009B3990" w:rsidRPr="009B3990" w:rsidRDefault="009B3990" w:rsidP="009B3990">
      <w:pPr>
        <w:spacing w:line="240" w:lineRule="auto"/>
        <w:rPr>
          <w:sz w:val="24"/>
        </w:rPr>
      </w:pPr>
      <w:r>
        <w:rPr>
          <w:sz w:val="24"/>
        </w:rPr>
        <w:t xml:space="preserve">Ouvrage de référence : X. </w:t>
      </w:r>
      <w:proofErr w:type="spellStart"/>
      <w:r w:rsidRPr="003C397A">
        <w:rPr>
          <w:smallCaps/>
          <w:sz w:val="24"/>
        </w:rPr>
        <w:t>Magnon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Théorie(s) du droit</w:t>
      </w:r>
      <w:r>
        <w:rPr>
          <w:sz w:val="24"/>
        </w:rPr>
        <w:t>, Ellipses, Université Droit, 2008, 163 p.</w:t>
      </w:r>
    </w:p>
    <w:p w14:paraId="7A41427B" w14:textId="77777777" w:rsidR="009B3990" w:rsidRDefault="009B3990" w:rsidP="00F730F6">
      <w:pPr>
        <w:spacing w:line="240" w:lineRule="auto"/>
        <w:jc w:val="center"/>
        <w:rPr>
          <w:sz w:val="24"/>
        </w:rPr>
      </w:pPr>
    </w:p>
    <w:p w14:paraId="34A059D4" w14:textId="77777777" w:rsidR="005944CC" w:rsidRPr="009B3990" w:rsidRDefault="005944CC" w:rsidP="007D0D10">
      <w:pPr>
        <w:spacing w:line="240" w:lineRule="auto"/>
        <w:rPr>
          <w:rFonts w:ascii="Arial" w:hAnsi="Arial" w:cs="Arial"/>
          <w:b/>
          <w:sz w:val="24"/>
        </w:rPr>
      </w:pPr>
      <w:r w:rsidRPr="009B3990">
        <w:rPr>
          <w:rFonts w:ascii="Arial" w:hAnsi="Arial" w:cs="Arial"/>
          <w:b/>
          <w:sz w:val="24"/>
        </w:rPr>
        <w:t>§ I – L’unité : la définition de la norme juridique</w:t>
      </w:r>
    </w:p>
    <w:p w14:paraId="06A2D849" w14:textId="77777777" w:rsidR="005944CC" w:rsidRDefault="005944CC" w:rsidP="007D0D10">
      <w:pPr>
        <w:spacing w:line="240" w:lineRule="auto"/>
        <w:rPr>
          <w:sz w:val="24"/>
        </w:rPr>
      </w:pPr>
    </w:p>
    <w:p w14:paraId="305019D3" w14:textId="77777777" w:rsidR="00FA1E33" w:rsidRPr="009B3990" w:rsidRDefault="009B3990" w:rsidP="007D0D10">
      <w:pPr>
        <w:spacing w:line="240" w:lineRule="auto"/>
        <w:rPr>
          <w:rFonts w:ascii="Arial" w:hAnsi="Arial" w:cs="Arial"/>
          <w:sz w:val="24"/>
        </w:rPr>
      </w:pPr>
      <w:r w:rsidRPr="009B3990">
        <w:rPr>
          <w:rFonts w:ascii="Arial" w:hAnsi="Arial" w:cs="Arial"/>
          <w:sz w:val="24"/>
        </w:rPr>
        <w:t>1°) Quelle définition de la norme juridique : normativisme v. réalisme ?</w:t>
      </w:r>
    </w:p>
    <w:p w14:paraId="0BFB7B10" w14:textId="77777777" w:rsidR="009B3990" w:rsidRDefault="009B3990" w:rsidP="009B3990">
      <w:pPr>
        <w:spacing w:line="240" w:lineRule="auto"/>
        <w:rPr>
          <w:sz w:val="24"/>
          <w:u w:val="single"/>
        </w:rPr>
      </w:pPr>
    </w:p>
    <w:p w14:paraId="49ACCC42" w14:textId="77777777" w:rsidR="009B3990" w:rsidRPr="009B3990" w:rsidRDefault="009B3990" w:rsidP="009B3990">
      <w:pPr>
        <w:spacing w:line="240" w:lineRule="auto"/>
        <w:rPr>
          <w:sz w:val="24"/>
          <w:u w:val="single"/>
        </w:rPr>
      </w:pPr>
      <w:r w:rsidRPr="009B3990">
        <w:rPr>
          <w:sz w:val="24"/>
          <w:u w:val="single"/>
        </w:rPr>
        <w:t xml:space="preserve">Référence </w:t>
      </w:r>
      <w:r>
        <w:rPr>
          <w:sz w:val="24"/>
          <w:u w:val="single"/>
        </w:rPr>
        <w:t>ouvrage</w:t>
      </w:r>
      <w:r w:rsidR="00114939">
        <w:rPr>
          <w:sz w:val="24"/>
          <w:u w:val="single"/>
        </w:rPr>
        <w:t xml:space="preserve"> </w:t>
      </w:r>
      <w:r w:rsidRPr="009B3990">
        <w:rPr>
          <w:i/>
          <w:sz w:val="24"/>
          <w:u w:val="single"/>
        </w:rPr>
        <w:t>Théorie(s) du droit</w:t>
      </w:r>
      <w:r>
        <w:rPr>
          <w:sz w:val="24"/>
          <w:u w:val="single"/>
        </w:rPr>
        <w:t xml:space="preserve"> </w:t>
      </w:r>
      <w:r w:rsidRPr="00875DE1">
        <w:rPr>
          <w:sz w:val="24"/>
        </w:rPr>
        <w:t xml:space="preserve">: </w:t>
      </w:r>
      <w:r w:rsidR="00875DE1" w:rsidRPr="00875DE1">
        <w:rPr>
          <w:sz w:val="24"/>
        </w:rPr>
        <w:t xml:space="preserve">pp. </w:t>
      </w:r>
      <w:r w:rsidR="00875DE1">
        <w:rPr>
          <w:sz w:val="24"/>
        </w:rPr>
        <w:t>33-41, 65-70</w:t>
      </w:r>
      <w:r w:rsidR="00875DE1" w:rsidRPr="00875DE1">
        <w:rPr>
          <w:sz w:val="24"/>
        </w:rPr>
        <w:t xml:space="preserve">, § </w:t>
      </w:r>
      <w:r w:rsidR="00875DE1">
        <w:rPr>
          <w:sz w:val="24"/>
        </w:rPr>
        <w:t>47-65, 114-126</w:t>
      </w:r>
      <w:r w:rsidR="00875DE1" w:rsidRPr="00875DE1">
        <w:rPr>
          <w:sz w:val="24"/>
        </w:rPr>
        <w:t>.</w:t>
      </w:r>
    </w:p>
    <w:p w14:paraId="0524E9B4" w14:textId="77777777" w:rsidR="00FA1E33" w:rsidRDefault="00FA1E33" w:rsidP="007D0D10">
      <w:pPr>
        <w:spacing w:line="240" w:lineRule="auto"/>
        <w:rPr>
          <w:sz w:val="24"/>
        </w:rPr>
      </w:pPr>
    </w:p>
    <w:p w14:paraId="74265D2D" w14:textId="77777777" w:rsidR="008E1E53" w:rsidRP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Pro</w:t>
      </w:r>
      <w:r w:rsidRPr="008E1E53">
        <w:rPr>
          <w:sz w:val="24"/>
        </w:rPr>
        <w:t xml:space="preserve"> : </w:t>
      </w:r>
      <w:r>
        <w:rPr>
          <w:sz w:val="24"/>
        </w:rPr>
        <w:t>La définition réaliste de la norme juridique</w:t>
      </w:r>
      <w:r w:rsidRPr="008E1E53">
        <w:rPr>
          <w:sz w:val="24"/>
        </w:rPr>
        <w:t xml:space="preserve"> </w:t>
      </w:r>
    </w:p>
    <w:p w14:paraId="7ED18FCA" w14:textId="77777777" w:rsidR="008E1E53" w:rsidRP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Contra </w:t>
      </w:r>
      <w:r w:rsidRPr="008E1E53">
        <w:rPr>
          <w:sz w:val="24"/>
        </w:rPr>
        <w:t xml:space="preserve">: </w:t>
      </w:r>
      <w:r>
        <w:rPr>
          <w:sz w:val="24"/>
        </w:rPr>
        <w:t xml:space="preserve">La définition </w:t>
      </w:r>
      <w:proofErr w:type="spellStart"/>
      <w:r>
        <w:rPr>
          <w:sz w:val="24"/>
        </w:rPr>
        <w:t>normativiste</w:t>
      </w:r>
      <w:proofErr w:type="spellEnd"/>
      <w:r>
        <w:rPr>
          <w:sz w:val="24"/>
        </w:rPr>
        <w:t xml:space="preserve"> de la norme juridique</w:t>
      </w:r>
    </w:p>
    <w:p w14:paraId="48862FBE" w14:textId="77777777" w:rsidR="008E1E53" w:rsidRDefault="008E1E53" w:rsidP="007D0D10">
      <w:pPr>
        <w:spacing w:line="240" w:lineRule="auto"/>
        <w:rPr>
          <w:sz w:val="24"/>
        </w:rPr>
      </w:pPr>
    </w:p>
    <w:p w14:paraId="5EE2737F" w14:textId="77777777" w:rsidR="005944CC" w:rsidRPr="009B3990" w:rsidRDefault="005944CC" w:rsidP="007D0D10">
      <w:pPr>
        <w:spacing w:line="240" w:lineRule="auto"/>
        <w:rPr>
          <w:rFonts w:ascii="Arial" w:hAnsi="Arial" w:cs="Arial"/>
          <w:b/>
          <w:sz w:val="24"/>
        </w:rPr>
      </w:pPr>
      <w:r w:rsidRPr="009B3990">
        <w:rPr>
          <w:rFonts w:ascii="Arial" w:hAnsi="Arial" w:cs="Arial"/>
          <w:b/>
          <w:sz w:val="24"/>
        </w:rPr>
        <w:t xml:space="preserve">§ II – L’ensemble : l’ordre juridique </w:t>
      </w:r>
    </w:p>
    <w:p w14:paraId="3075C96C" w14:textId="77777777" w:rsidR="005944CC" w:rsidRDefault="005944CC" w:rsidP="007D0D10">
      <w:pPr>
        <w:spacing w:line="240" w:lineRule="auto"/>
        <w:rPr>
          <w:sz w:val="24"/>
        </w:rPr>
      </w:pPr>
    </w:p>
    <w:p w14:paraId="31BCF87F" w14:textId="77777777" w:rsidR="009F6EA7" w:rsidRPr="009B3990" w:rsidRDefault="009B3990" w:rsidP="009F6EA7">
      <w:pPr>
        <w:spacing w:line="240" w:lineRule="auto"/>
        <w:rPr>
          <w:rFonts w:ascii="Arial" w:hAnsi="Arial" w:cs="Arial"/>
          <w:sz w:val="24"/>
        </w:rPr>
      </w:pPr>
      <w:r w:rsidRPr="009B3990">
        <w:rPr>
          <w:rFonts w:ascii="Arial" w:hAnsi="Arial" w:cs="Arial"/>
          <w:sz w:val="24"/>
        </w:rPr>
        <w:t xml:space="preserve">2°) </w:t>
      </w:r>
      <w:r w:rsidR="009F6EA7" w:rsidRPr="009B3990">
        <w:rPr>
          <w:rFonts w:ascii="Arial" w:hAnsi="Arial" w:cs="Arial"/>
          <w:sz w:val="24"/>
        </w:rPr>
        <w:t>La structuration de l’ordre juridique : la hiérarchie des normes</w:t>
      </w:r>
    </w:p>
    <w:p w14:paraId="3995E5D2" w14:textId="77777777" w:rsidR="009B3990" w:rsidRDefault="009B3990" w:rsidP="009B3990">
      <w:pPr>
        <w:spacing w:line="240" w:lineRule="auto"/>
        <w:rPr>
          <w:sz w:val="24"/>
          <w:u w:val="single"/>
        </w:rPr>
      </w:pPr>
    </w:p>
    <w:p w14:paraId="469E8048" w14:textId="77777777" w:rsidR="009B3990" w:rsidRPr="009B3990" w:rsidRDefault="009B3990" w:rsidP="009B3990">
      <w:pPr>
        <w:spacing w:line="240" w:lineRule="auto"/>
        <w:rPr>
          <w:sz w:val="24"/>
          <w:u w:val="single"/>
        </w:rPr>
      </w:pPr>
      <w:r w:rsidRPr="009B3990">
        <w:rPr>
          <w:sz w:val="24"/>
          <w:u w:val="single"/>
        </w:rPr>
        <w:t xml:space="preserve">Référence </w:t>
      </w:r>
      <w:r>
        <w:rPr>
          <w:sz w:val="24"/>
          <w:u w:val="single"/>
        </w:rPr>
        <w:t>ouvrage</w:t>
      </w:r>
      <w:r w:rsidR="00114939">
        <w:rPr>
          <w:sz w:val="24"/>
          <w:u w:val="single"/>
        </w:rPr>
        <w:t xml:space="preserve"> </w:t>
      </w:r>
      <w:r w:rsidRPr="009B3990">
        <w:rPr>
          <w:i/>
          <w:sz w:val="24"/>
          <w:u w:val="single"/>
        </w:rPr>
        <w:t>Théorie(s) du droit</w:t>
      </w:r>
      <w:r>
        <w:rPr>
          <w:sz w:val="24"/>
          <w:u w:val="single"/>
        </w:rPr>
        <w:t xml:space="preserve"> </w:t>
      </w:r>
      <w:r w:rsidRPr="00875DE1">
        <w:rPr>
          <w:sz w:val="24"/>
        </w:rPr>
        <w:t xml:space="preserve">: </w:t>
      </w:r>
      <w:r w:rsidR="00114939" w:rsidRPr="00875DE1">
        <w:rPr>
          <w:sz w:val="24"/>
        </w:rPr>
        <w:t xml:space="preserve">pp. 72-77, § </w:t>
      </w:r>
      <w:r w:rsidR="00875DE1" w:rsidRPr="00875DE1">
        <w:rPr>
          <w:sz w:val="24"/>
        </w:rPr>
        <w:t>129-142.</w:t>
      </w:r>
    </w:p>
    <w:p w14:paraId="49AC1F93" w14:textId="77777777" w:rsidR="009F6EA7" w:rsidRDefault="009F6EA7" w:rsidP="009F6EA7">
      <w:pPr>
        <w:spacing w:line="240" w:lineRule="auto"/>
        <w:rPr>
          <w:sz w:val="24"/>
        </w:rPr>
      </w:pPr>
    </w:p>
    <w:p w14:paraId="6B4426F0" w14:textId="77777777" w:rsidR="008E1E53" w:rsidRP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Pro</w:t>
      </w:r>
      <w:r w:rsidRPr="008E1E53">
        <w:rPr>
          <w:sz w:val="24"/>
        </w:rPr>
        <w:t xml:space="preserve"> : </w:t>
      </w:r>
      <w:r>
        <w:rPr>
          <w:sz w:val="24"/>
        </w:rPr>
        <w:t>La hiérarchie des normes un concept pertinent pour expliciter les rapports entre les normes</w:t>
      </w:r>
    </w:p>
    <w:p w14:paraId="3096AB8A" w14:textId="77777777" w:rsidR="008E1E53" w:rsidRP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Contra </w:t>
      </w:r>
      <w:r w:rsidRPr="008E1E53">
        <w:rPr>
          <w:sz w:val="24"/>
        </w:rPr>
        <w:t xml:space="preserve">: La hiérarchie des normes un concept </w:t>
      </w:r>
      <w:r>
        <w:rPr>
          <w:sz w:val="24"/>
        </w:rPr>
        <w:t>dépassé pour rendre compte d’un monde normatif globalisé</w:t>
      </w:r>
    </w:p>
    <w:p w14:paraId="1F3FABC5" w14:textId="77777777" w:rsidR="008E1E53" w:rsidRDefault="008E1E53" w:rsidP="009F6EA7">
      <w:pPr>
        <w:spacing w:line="240" w:lineRule="auto"/>
        <w:rPr>
          <w:sz w:val="24"/>
        </w:rPr>
      </w:pPr>
    </w:p>
    <w:p w14:paraId="68AD67DA" w14:textId="77777777" w:rsidR="009F6EA7" w:rsidRPr="009B3990" w:rsidRDefault="009B3990" w:rsidP="009F6EA7">
      <w:pPr>
        <w:spacing w:line="240" w:lineRule="auto"/>
        <w:rPr>
          <w:rFonts w:ascii="Arial" w:hAnsi="Arial" w:cs="Arial"/>
          <w:sz w:val="24"/>
        </w:rPr>
      </w:pPr>
      <w:r w:rsidRPr="009B3990">
        <w:rPr>
          <w:rFonts w:ascii="Arial" w:hAnsi="Arial" w:cs="Arial"/>
          <w:sz w:val="24"/>
        </w:rPr>
        <w:t xml:space="preserve">3°) </w:t>
      </w:r>
      <w:r w:rsidR="009F6EA7" w:rsidRPr="009B3990">
        <w:rPr>
          <w:rFonts w:ascii="Arial" w:hAnsi="Arial" w:cs="Arial"/>
          <w:sz w:val="24"/>
        </w:rPr>
        <w:t>L’</w:t>
      </w:r>
      <w:proofErr w:type="spellStart"/>
      <w:r w:rsidR="009F6EA7" w:rsidRPr="009B3990">
        <w:rPr>
          <w:rFonts w:ascii="Arial" w:hAnsi="Arial" w:cs="Arial"/>
          <w:sz w:val="24"/>
        </w:rPr>
        <w:t>Etat</w:t>
      </w:r>
      <w:proofErr w:type="spellEnd"/>
      <w:r w:rsidR="009F6EA7" w:rsidRPr="009B3990">
        <w:rPr>
          <w:rFonts w:ascii="Arial" w:hAnsi="Arial" w:cs="Arial"/>
          <w:sz w:val="24"/>
        </w:rPr>
        <w:t xml:space="preserve"> comme ordre juridique, quelle souveraineté pour l’</w:t>
      </w:r>
      <w:proofErr w:type="spellStart"/>
      <w:r w:rsidR="009F6EA7" w:rsidRPr="009B3990">
        <w:rPr>
          <w:rFonts w:ascii="Arial" w:hAnsi="Arial" w:cs="Arial"/>
          <w:sz w:val="24"/>
        </w:rPr>
        <w:t>Etat</w:t>
      </w:r>
      <w:proofErr w:type="spellEnd"/>
      <w:r w:rsidR="00F730F6" w:rsidRPr="009B3990">
        <w:rPr>
          <w:rFonts w:ascii="Arial" w:hAnsi="Arial" w:cs="Arial"/>
          <w:sz w:val="24"/>
        </w:rPr>
        <w:t> ?</w:t>
      </w:r>
    </w:p>
    <w:p w14:paraId="5F75F461" w14:textId="77777777" w:rsidR="009F6EA7" w:rsidRDefault="009F6EA7" w:rsidP="009F6EA7">
      <w:pPr>
        <w:spacing w:line="240" w:lineRule="auto"/>
        <w:rPr>
          <w:sz w:val="24"/>
        </w:rPr>
      </w:pPr>
    </w:p>
    <w:p w14:paraId="4B2D1371" w14:textId="77777777" w:rsidR="009B3990" w:rsidRPr="009B3990" w:rsidRDefault="009B3990" w:rsidP="009B3990">
      <w:pPr>
        <w:spacing w:line="240" w:lineRule="auto"/>
        <w:rPr>
          <w:sz w:val="24"/>
          <w:u w:val="single"/>
        </w:rPr>
      </w:pPr>
      <w:r w:rsidRPr="009B3990">
        <w:rPr>
          <w:sz w:val="24"/>
          <w:u w:val="single"/>
        </w:rPr>
        <w:t xml:space="preserve">Référence </w:t>
      </w:r>
      <w:r>
        <w:rPr>
          <w:sz w:val="24"/>
          <w:u w:val="single"/>
        </w:rPr>
        <w:t>ouvrage</w:t>
      </w:r>
      <w:r w:rsidR="00114939">
        <w:rPr>
          <w:sz w:val="24"/>
          <w:u w:val="single"/>
        </w:rPr>
        <w:t xml:space="preserve"> </w:t>
      </w:r>
      <w:r w:rsidRPr="009B3990">
        <w:rPr>
          <w:i/>
          <w:sz w:val="24"/>
          <w:u w:val="single"/>
        </w:rPr>
        <w:t>Théorie(s) du droit</w:t>
      </w:r>
      <w:r>
        <w:rPr>
          <w:sz w:val="24"/>
          <w:u w:val="single"/>
        </w:rPr>
        <w:t xml:space="preserve"> </w:t>
      </w:r>
      <w:r w:rsidRPr="00114939">
        <w:rPr>
          <w:sz w:val="24"/>
        </w:rPr>
        <w:t xml:space="preserve">: </w:t>
      </w:r>
      <w:r w:rsidR="00114939" w:rsidRPr="00114939">
        <w:rPr>
          <w:sz w:val="24"/>
        </w:rPr>
        <w:t>pp. 99-104, § 180-188.</w:t>
      </w:r>
    </w:p>
    <w:p w14:paraId="1B4FA69A" w14:textId="77777777" w:rsidR="009B3990" w:rsidRDefault="009B3990" w:rsidP="009F6EA7">
      <w:pPr>
        <w:spacing w:line="240" w:lineRule="auto"/>
        <w:rPr>
          <w:sz w:val="24"/>
        </w:rPr>
      </w:pPr>
    </w:p>
    <w:p w14:paraId="59B71F89" w14:textId="77777777" w:rsidR="008E1E53" w:rsidRP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Pro</w:t>
      </w:r>
      <w:r w:rsidRPr="008E1E53">
        <w:rPr>
          <w:sz w:val="24"/>
        </w:rPr>
        <w:t xml:space="preserve"> : </w:t>
      </w:r>
      <w:r w:rsidR="00976149">
        <w:rPr>
          <w:sz w:val="24"/>
        </w:rPr>
        <w:t>La souveraineté comme qualité substantielle de l’</w:t>
      </w:r>
      <w:proofErr w:type="spellStart"/>
      <w:r w:rsidR="00976149">
        <w:rPr>
          <w:sz w:val="24"/>
        </w:rPr>
        <w:t>Etat</w:t>
      </w:r>
      <w:proofErr w:type="spellEnd"/>
    </w:p>
    <w:p w14:paraId="6141B072" w14:textId="77777777" w:rsidR="008E1E53" w:rsidRDefault="008E1E53" w:rsidP="008E1E53">
      <w:pPr>
        <w:spacing w:line="240" w:lineRule="auto"/>
        <w:rPr>
          <w:sz w:val="24"/>
        </w:rPr>
      </w:pPr>
      <w:r w:rsidRPr="008E1E53">
        <w:rPr>
          <w:i/>
          <w:sz w:val="24"/>
        </w:rPr>
        <w:t>Contra </w:t>
      </w:r>
      <w:r w:rsidRPr="008E1E53">
        <w:rPr>
          <w:sz w:val="24"/>
        </w:rPr>
        <w:t>:</w:t>
      </w:r>
      <w:r>
        <w:rPr>
          <w:sz w:val="24"/>
        </w:rPr>
        <w:t xml:space="preserve"> </w:t>
      </w:r>
      <w:r w:rsidR="00976149">
        <w:rPr>
          <w:sz w:val="24"/>
        </w:rPr>
        <w:t xml:space="preserve">La dilution formelle du concept de souveraineté </w:t>
      </w:r>
    </w:p>
    <w:p w14:paraId="301AF1E9" w14:textId="77777777" w:rsidR="008E1E53" w:rsidRDefault="008E1E53" w:rsidP="009F6EA7">
      <w:pPr>
        <w:spacing w:line="240" w:lineRule="auto"/>
        <w:rPr>
          <w:sz w:val="24"/>
        </w:rPr>
      </w:pPr>
    </w:p>
    <w:p w14:paraId="14BF5216" w14:textId="77777777" w:rsidR="00FA1E33" w:rsidRPr="009B3990" w:rsidRDefault="009B3990" w:rsidP="007D0D10">
      <w:pPr>
        <w:spacing w:line="240" w:lineRule="auto"/>
        <w:rPr>
          <w:rFonts w:ascii="Arial" w:hAnsi="Arial" w:cs="Arial"/>
          <w:sz w:val="24"/>
        </w:rPr>
      </w:pPr>
      <w:r w:rsidRPr="009B3990">
        <w:rPr>
          <w:rFonts w:ascii="Arial" w:hAnsi="Arial" w:cs="Arial"/>
          <w:sz w:val="24"/>
        </w:rPr>
        <w:t xml:space="preserve">4°) </w:t>
      </w:r>
      <w:r w:rsidR="00FA1E33" w:rsidRPr="009B3990">
        <w:rPr>
          <w:rFonts w:ascii="Arial" w:hAnsi="Arial" w:cs="Arial"/>
          <w:sz w:val="24"/>
        </w:rPr>
        <w:t>Les qualités des ordres juridiques : décentralisation et centralisation des normes et de leur production</w:t>
      </w:r>
      <w:r w:rsidRPr="009B3990">
        <w:rPr>
          <w:rFonts w:ascii="Arial" w:hAnsi="Arial" w:cs="Arial"/>
          <w:sz w:val="24"/>
        </w:rPr>
        <w:t xml:space="preserve">, </w:t>
      </w:r>
      <w:r w:rsidR="00114939">
        <w:rPr>
          <w:rFonts w:ascii="Arial" w:hAnsi="Arial" w:cs="Arial"/>
          <w:sz w:val="24"/>
        </w:rPr>
        <w:t xml:space="preserve">l’Union européenne est-elle un </w:t>
      </w:r>
      <w:proofErr w:type="spellStart"/>
      <w:r w:rsidR="00114939">
        <w:rPr>
          <w:rFonts w:ascii="Arial" w:hAnsi="Arial" w:cs="Arial"/>
          <w:sz w:val="24"/>
        </w:rPr>
        <w:t>Etat</w:t>
      </w:r>
      <w:proofErr w:type="spellEnd"/>
      <w:r w:rsidRPr="009B3990">
        <w:rPr>
          <w:rFonts w:ascii="Arial" w:hAnsi="Arial" w:cs="Arial"/>
          <w:sz w:val="24"/>
        </w:rPr>
        <w:t> ?</w:t>
      </w:r>
    </w:p>
    <w:p w14:paraId="0ABCD2B0" w14:textId="77777777" w:rsidR="00FA1E33" w:rsidRDefault="00FA1E33" w:rsidP="007D0D10">
      <w:pPr>
        <w:spacing w:line="240" w:lineRule="auto"/>
        <w:rPr>
          <w:sz w:val="24"/>
        </w:rPr>
      </w:pPr>
    </w:p>
    <w:p w14:paraId="08EB625D" w14:textId="77777777" w:rsidR="009B3990" w:rsidRPr="00114939" w:rsidRDefault="009B3990" w:rsidP="009B3990">
      <w:pPr>
        <w:spacing w:line="240" w:lineRule="auto"/>
        <w:rPr>
          <w:sz w:val="24"/>
        </w:rPr>
      </w:pPr>
      <w:r w:rsidRPr="009B3990">
        <w:rPr>
          <w:sz w:val="24"/>
          <w:u w:val="single"/>
        </w:rPr>
        <w:t xml:space="preserve">Référence </w:t>
      </w:r>
      <w:r>
        <w:rPr>
          <w:sz w:val="24"/>
          <w:u w:val="single"/>
        </w:rPr>
        <w:t>ouvrage</w:t>
      </w:r>
      <w:r w:rsidR="00114939">
        <w:rPr>
          <w:sz w:val="24"/>
          <w:u w:val="single"/>
        </w:rPr>
        <w:t xml:space="preserve"> </w:t>
      </w:r>
      <w:r w:rsidRPr="009B3990">
        <w:rPr>
          <w:i/>
          <w:sz w:val="24"/>
          <w:u w:val="single"/>
        </w:rPr>
        <w:t>Théorie(s) du droit</w:t>
      </w:r>
      <w:r>
        <w:rPr>
          <w:sz w:val="24"/>
          <w:u w:val="single"/>
        </w:rPr>
        <w:t xml:space="preserve"> </w:t>
      </w:r>
      <w:r w:rsidRPr="00114939">
        <w:rPr>
          <w:sz w:val="24"/>
        </w:rPr>
        <w:t>:</w:t>
      </w:r>
      <w:r w:rsidR="00114939" w:rsidRPr="00114939">
        <w:rPr>
          <w:sz w:val="24"/>
        </w:rPr>
        <w:t xml:space="preserve"> pp. 99-104, § 180-188.</w:t>
      </w:r>
    </w:p>
    <w:p w14:paraId="492934A5" w14:textId="77777777" w:rsidR="009B3990" w:rsidRDefault="009B3990" w:rsidP="007D0D10">
      <w:pPr>
        <w:spacing w:line="240" w:lineRule="auto"/>
        <w:rPr>
          <w:sz w:val="24"/>
        </w:rPr>
      </w:pPr>
    </w:p>
    <w:p w14:paraId="4CD573E2" w14:textId="77777777" w:rsidR="00976149" w:rsidRPr="008E1E53" w:rsidRDefault="00976149" w:rsidP="00976149">
      <w:pPr>
        <w:spacing w:line="240" w:lineRule="auto"/>
        <w:rPr>
          <w:sz w:val="24"/>
        </w:rPr>
      </w:pPr>
      <w:r w:rsidRPr="008E1E53">
        <w:rPr>
          <w:i/>
          <w:sz w:val="24"/>
        </w:rPr>
        <w:t>Pro</w:t>
      </w:r>
      <w:r w:rsidRPr="008E1E53">
        <w:rPr>
          <w:sz w:val="24"/>
        </w:rPr>
        <w:t xml:space="preserve"> : </w:t>
      </w:r>
      <w:r>
        <w:rPr>
          <w:sz w:val="24"/>
        </w:rPr>
        <w:t>La dimension juridique : l’Union européenne dispose des attributs formels de l’</w:t>
      </w:r>
      <w:proofErr w:type="spellStart"/>
      <w:r>
        <w:rPr>
          <w:sz w:val="24"/>
        </w:rPr>
        <w:t>Etat</w:t>
      </w:r>
      <w:proofErr w:type="spellEnd"/>
    </w:p>
    <w:p w14:paraId="33CB8C0E" w14:textId="77777777" w:rsidR="00976149" w:rsidRDefault="00976149" w:rsidP="00976149">
      <w:pPr>
        <w:spacing w:line="240" w:lineRule="auto"/>
        <w:rPr>
          <w:sz w:val="24"/>
        </w:rPr>
      </w:pPr>
      <w:r w:rsidRPr="008E1E53">
        <w:rPr>
          <w:i/>
          <w:sz w:val="24"/>
        </w:rPr>
        <w:t>Contra </w:t>
      </w:r>
      <w:r w:rsidRPr="008E1E53">
        <w:rPr>
          <w:sz w:val="24"/>
        </w:rPr>
        <w:t>:</w:t>
      </w:r>
      <w:r>
        <w:rPr>
          <w:sz w:val="24"/>
        </w:rPr>
        <w:t xml:space="preserve"> La dimension politique : l’Union européenne n’a pas de substance étatique</w:t>
      </w:r>
    </w:p>
    <w:p w14:paraId="22C8BE98" w14:textId="77777777" w:rsidR="00976149" w:rsidRDefault="00976149" w:rsidP="007D0D10">
      <w:pPr>
        <w:spacing w:line="240" w:lineRule="auto"/>
        <w:rPr>
          <w:sz w:val="24"/>
        </w:rPr>
      </w:pPr>
    </w:p>
    <w:p w14:paraId="0A4487F7" w14:textId="77777777" w:rsidR="00FA1E33" w:rsidRPr="009B3990" w:rsidRDefault="009B3990" w:rsidP="007D0D10">
      <w:pPr>
        <w:spacing w:line="240" w:lineRule="auto"/>
        <w:rPr>
          <w:rFonts w:ascii="Arial" w:hAnsi="Arial" w:cs="Arial"/>
          <w:sz w:val="24"/>
        </w:rPr>
      </w:pPr>
      <w:r w:rsidRPr="009B3990">
        <w:rPr>
          <w:rFonts w:ascii="Arial" w:hAnsi="Arial" w:cs="Arial"/>
          <w:sz w:val="24"/>
        </w:rPr>
        <w:t>5°) Comment concevoir l</w:t>
      </w:r>
      <w:r w:rsidR="00FA1E33" w:rsidRPr="009B3990">
        <w:rPr>
          <w:rFonts w:ascii="Arial" w:hAnsi="Arial" w:cs="Arial"/>
          <w:sz w:val="24"/>
        </w:rPr>
        <w:t>es rapports entre les normes internes et les normes internationales</w:t>
      </w:r>
      <w:r w:rsidRPr="009B3990">
        <w:rPr>
          <w:rFonts w:ascii="Arial" w:hAnsi="Arial" w:cs="Arial"/>
          <w:sz w:val="24"/>
        </w:rPr>
        <w:t xml:space="preserve"> : monisme(s), dualisme, pluralisme, pluralisme ordonné, </w:t>
      </w:r>
      <w:r w:rsidR="003C397A">
        <w:rPr>
          <w:rFonts w:ascii="Arial" w:hAnsi="Arial" w:cs="Arial"/>
          <w:sz w:val="24"/>
        </w:rPr>
        <w:t xml:space="preserve">théorie des réseaux, </w:t>
      </w:r>
      <w:r w:rsidRPr="009B3990">
        <w:rPr>
          <w:rFonts w:ascii="Arial" w:hAnsi="Arial" w:cs="Arial"/>
          <w:sz w:val="24"/>
        </w:rPr>
        <w:t>droit global, dialogue des juges… ?</w:t>
      </w:r>
    </w:p>
    <w:p w14:paraId="0220D1CC" w14:textId="77777777" w:rsidR="00875DE1" w:rsidRDefault="00875DE1" w:rsidP="009B3990">
      <w:pPr>
        <w:spacing w:line="240" w:lineRule="auto"/>
        <w:rPr>
          <w:sz w:val="24"/>
          <w:u w:val="single"/>
        </w:rPr>
      </w:pPr>
    </w:p>
    <w:p w14:paraId="401D2207" w14:textId="77777777" w:rsidR="009B3990" w:rsidRPr="009B3990" w:rsidRDefault="009B3990" w:rsidP="009B3990">
      <w:pPr>
        <w:spacing w:line="240" w:lineRule="auto"/>
        <w:rPr>
          <w:sz w:val="24"/>
          <w:u w:val="single"/>
        </w:rPr>
      </w:pPr>
      <w:r w:rsidRPr="009B3990">
        <w:rPr>
          <w:sz w:val="24"/>
          <w:u w:val="single"/>
        </w:rPr>
        <w:t xml:space="preserve">Référence </w:t>
      </w:r>
      <w:r>
        <w:rPr>
          <w:sz w:val="24"/>
          <w:u w:val="single"/>
        </w:rPr>
        <w:t>ouvrage</w:t>
      </w:r>
      <w:r w:rsidR="00114939">
        <w:rPr>
          <w:sz w:val="24"/>
          <w:u w:val="single"/>
        </w:rPr>
        <w:t xml:space="preserve"> </w:t>
      </w:r>
      <w:r w:rsidRPr="009B3990">
        <w:rPr>
          <w:i/>
          <w:sz w:val="24"/>
          <w:u w:val="single"/>
        </w:rPr>
        <w:t>Théorie(s) du droit</w:t>
      </w:r>
      <w:r>
        <w:rPr>
          <w:sz w:val="24"/>
          <w:u w:val="single"/>
        </w:rPr>
        <w:t xml:space="preserve"> </w:t>
      </w:r>
      <w:r w:rsidRPr="00114939">
        <w:rPr>
          <w:sz w:val="24"/>
        </w:rPr>
        <w:t xml:space="preserve">: </w:t>
      </w:r>
      <w:r w:rsidR="00114939" w:rsidRPr="00114939">
        <w:rPr>
          <w:sz w:val="24"/>
        </w:rPr>
        <w:t>pp. 107-115, § 196-212.</w:t>
      </w:r>
    </w:p>
    <w:p w14:paraId="38AF32C0" w14:textId="77777777" w:rsidR="00114939" w:rsidRDefault="00114939" w:rsidP="007D0D10">
      <w:pPr>
        <w:spacing w:line="240" w:lineRule="auto"/>
        <w:rPr>
          <w:sz w:val="24"/>
        </w:rPr>
      </w:pPr>
    </w:p>
    <w:p w14:paraId="343AAFD1" w14:textId="77777777" w:rsidR="007D0D10" w:rsidRDefault="009B3990" w:rsidP="007D0D10">
      <w:pPr>
        <w:spacing w:line="240" w:lineRule="auto"/>
        <w:rPr>
          <w:sz w:val="24"/>
        </w:rPr>
      </w:pPr>
      <w:r>
        <w:rPr>
          <w:sz w:val="24"/>
        </w:rPr>
        <w:t xml:space="preserve">Voir également : </w:t>
      </w:r>
      <w:r w:rsidRPr="003C397A">
        <w:rPr>
          <w:smallCaps/>
          <w:sz w:val="24"/>
        </w:rPr>
        <w:t xml:space="preserve">X. </w:t>
      </w:r>
      <w:proofErr w:type="spellStart"/>
      <w:r w:rsidRPr="003C397A">
        <w:rPr>
          <w:smallCaps/>
          <w:sz w:val="24"/>
        </w:rPr>
        <w:t>Magnon</w:t>
      </w:r>
      <w:proofErr w:type="spellEnd"/>
      <w:r>
        <w:rPr>
          <w:sz w:val="24"/>
        </w:rPr>
        <w:t xml:space="preserve">, </w:t>
      </w:r>
      <w:r w:rsidR="00114939" w:rsidRPr="00114939">
        <w:rPr>
          <w:sz w:val="24"/>
        </w:rPr>
        <w:t xml:space="preserve">« Appréhender le droit et les ordres juridiques : entre renoncement à une explication normative de la divergence (théorie des réseaux) et mythe de la convergence (droit global), faut-il renoncer à une approche </w:t>
      </w:r>
      <w:proofErr w:type="spellStart"/>
      <w:r w:rsidR="00114939" w:rsidRPr="00114939">
        <w:rPr>
          <w:sz w:val="24"/>
        </w:rPr>
        <w:t>normativiste</w:t>
      </w:r>
      <w:proofErr w:type="spellEnd"/>
      <w:r w:rsidR="00114939" w:rsidRPr="00114939">
        <w:rPr>
          <w:sz w:val="24"/>
        </w:rPr>
        <w:t xml:space="preserve"> ? », in </w:t>
      </w:r>
      <w:r w:rsidR="00114939" w:rsidRPr="00114939">
        <w:rPr>
          <w:bCs/>
          <w:i/>
          <w:sz w:val="24"/>
        </w:rPr>
        <w:t>Le pouvoir, mythes et réalité. Mélanges en hommage à Henry Roussillon</w:t>
      </w:r>
      <w:r w:rsidR="00114939" w:rsidRPr="00114939">
        <w:rPr>
          <w:bCs/>
          <w:sz w:val="24"/>
        </w:rPr>
        <w:t>, Presses de l’Université de Toulouse 1 Capitole, 2014</w:t>
      </w:r>
      <w:r w:rsidR="003C397A">
        <w:rPr>
          <w:bCs/>
          <w:sz w:val="24"/>
        </w:rPr>
        <w:t>, pp. </w:t>
      </w:r>
      <w:r w:rsidR="00114939" w:rsidRPr="00114939">
        <w:rPr>
          <w:bCs/>
          <w:sz w:val="24"/>
        </w:rPr>
        <w:t>455-470.</w:t>
      </w:r>
    </w:p>
    <w:p w14:paraId="4A77A404" w14:textId="77777777" w:rsidR="005944CC" w:rsidRDefault="005944CC" w:rsidP="007D0D10">
      <w:pPr>
        <w:spacing w:line="240" w:lineRule="auto"/>
        <w:rPr>
          <w:sz w:val="24"/>
        </w:rPr>
      </w:pPr>
    </w:p>
    <w:p w14:paraId="6ADC050B" w14:textId="77777777" w:rsidR="00976149" w:rsidRPr="00976149" w:rsidRDefault="00976149" w:rsidP="00976149">
      <w:pPr>
        <w:spacing w:line="240" w:lineRule="auto"/>
        <w:rPr>
          <w:sz w:val="24"/>
        </w:rPr>
      </w:pPr>
      <w:r w:rsidRPr="00976149">
        <w:rPr>
          <w:i/>
          <w:sz w:val="24"/>
        </w:rPr>
        <w:t>Pro</w:t>
      </w:r>
      <w:r w:rsidRPr="00976149">
        <w:rPr>
          <w:sz w:val="24"/>
        </w:rPr>
        <w:t xml:space="preserve"> : </w:t>
      </w:r>
      <w:proofErr w:type="gramStart"/>
      <w:r w:rsidR="003C397A">
        <w:rPr>
          <w:sz w:val="24"/>
        </w:rPr>
        <w:t>Une nécessaire</w:t>
      </w:r>
      <w:proofErr w:type="gramEnd"/>
      <w:r w:rsidR="003C397A">
        <w:rPr>
          <w:sz w:val="24"/>
        </w:rPr>
        <w:t xml:space="preserve"> remise en cause des cadres classiques d’analyse consécutive à la globalisation des normes</w:t>
      </w:r>
    </w:p>
    <w:p w14:paraId="15BA5DCD" w14:textId="77777777" w:rsidR="00976149" w:rsidRPr="00976149" w:rsidRDefault="00976149" w:rsidP="00976149">
      <w:pPr>
        <w:spacing w:line="240" w:lineRule="auto"/>
        <w:rPr>
          <w:sz w:val="24"/>
        </w:rPr>
      </w:pPr>
      <w:r w:rsidRPr="00976149">
        <w:rPr>
          <w:i/>
          <w:sz w:val="24"/>
        </w:rPr>
        <w:t>Contra </w:t>
      </w:r>
      <w:r w:rsidRPr="00976149">
        <w:rPr>
          <w:sz w:val="24"/>
        </w:rPr>
        <w:t xml:space="preserve">: </w:t>
      </w:r>
      <w:r w:rsidR="003C397A">
        <w:rPr>
          <w:sz w:val="24"/>
        </w:rPr>
        <w:t>Une analyse classique pertinente pour apprécier les rapports normatifs globalisés.</w:t>
      </w:r>
    </w:p>
    <w:p w14:paraId="29AD3D0B" w14:textId="77777777" w:rsidR="00976149" w:rsidRDefault="00976149" w:rsidP="007D0D10">
      <w:pPr>
        <w:spacing w:line="240" w:lineRule="auto"/>
        <w:rPr>
          <w:sz w:val="24"/>
        </w:rPr>
      </w:pPr>
    </w:p>
    <w:p w14:paraId="760B91FB" w14:textId="77777777" w:rsidR="00875DE1" w:rsidRDefault="00875DE1" w:rsidP="005944CC">
      <w:pPr>
        <w:spacing w:line="240" w:lineRule="auto"/>
        <w:jc w:val="center"/>
        <w:rPr>
          <w:smallCaps/>
          <w:sz w:val="28"/>
          <w:szCs w:val="28"/>
        </w:rPr>
      </w:pPr>
    </w:p>
    <w:p w14:paraId="34EC32DC" w14:textId="77777777" w:rsidR="00F730F6" w:rsidRPr="005944CC" w:rsidRDefault="00FA1E33" w:rsidP="005944CC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Seconde partie :</w:t>
      </w:r>
    </w:p>
    <w:p w14:paraId="6467F251" w14:textId="77777777" w:rsidR="00F730F6" w:rsidRPr="005944CC" w:rsidRDefault="00F730F6" w:rsidP="005944CC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U</w:t>
      </w:r>
      <w:r w:rsidR="007D0D10" w:rsidRPr="005944CC">
        <w:rPr>
          <w:smallCaps/>
          <w:sz w:val="28"/>
          <w:szCs w:val="28"/>
        </w:rPr>
        <w:t xml:space="preserve">ne approche </w:t>
      </w:r>
      <w:r w:rsidRPr="005944CC">
        <w:rPr>
          <w:smallCaps/>
          <w:sz w:val="28"/>
          <w:szCs w:val="28"/>
        </w:rPr>
        <w:t>de droit positif</w:t>
      </w:r>
      <w:r w:rsidR="007D0D10" w:rsidRPr="005944CC">
        <w:rPr>
          <w:smallCaps/>
          <w:sz w:val="28"/>
          <w:szCs w:val="28"/>
        </w:rPr>
        <w:t> :</w:t>
      </w:r>
    </w:p>
    <w:p w14:paraId="02C809D0" w14:textId="77777777" w:rsidR="007D0D10" w:rsidRPr="005944CC" w:rsidRDefault="007D0D10" w:rsidP="005944CC">
      <w:pPr>
        <w:spacing w:line="240" w:lineRule="auto"/>
        <w:jc w:val="center"/>
        <w:rPr>
          <w:smallCaps/>
          <w:sz w:val="28"/>
          <w:szCs w:val="28"/>
        </w:rPr>
      </w:pPr>
      <w:r w:rsidRPr="005944CC">
        <w:rPr>
          <w:smallCaps/>
          <w:sz w:val="28"/>
          <w:szCs w:val="28"/>
        </w:rPr>
        <w:t>les normes de droit positif sous la V</w:t>
      </w:r>
      <w:r w:rsidRPr="005944CC">
        <w:rPr>
          <w:smallCaps/>
          <w:sz w:val="28"/>
          <w:szCs w:val="28"/>
          <w:vertAlign w:val="superscript"/>
        </w:rPr>
        <w:t>ème</w:t>
      </w:r>
      <w:r w:rsidRPr="005944CC">
        <w:rPr>
          <w:smallCaps/>
          <w:sz w:val="28"/>
          <w:szCs w:val="28"/>
        </w:rPr>
        <w:t xml:space="preserve"> République</w:t>
      </w:r>
    </w:p>
    <w:p w14:paraId="4F2D11C1" w14:textId="77777777" w:rsidR="007D0D10" w:rsidRDefault="007D0D10" w:rsidP="007D0D10">
      <w:pPr>
        <w:spacing w:line="240" w:lineRule="auto"/>
        <w:rPr>
          <w:sz w:val="24"/>
        </w:rPr>
      </w:pPr>
    </w:p>
    <w:p w14:paraId="0F0F04DE" w14:textId="77777777" w:rsidR="00875DE1" w:rsidRDefault="00875DE1" w:rsidP="007D0D10">
      <w:pPr>
        <w:spacing w:line="240" w:lineRule="auto"/>
        <w:rPr>
          <w:sz w:val="24"/>
        </w:rPr>
      </w:pPr>
    </w:p>
    <w:p w14:paraId="4E3A6468" w14:textId="77777777" w:rsidR="00114939" w:rsidRPr="00114939" w:rsidRDefault="00114939" w:rsidP="00114939">
      <w:pPr>
        <w:spacing w:line="240" w:lineRule="auto"/>
        <w:rPr>
          <w:sz w:val="24"/>
        </w:rPr>
      </w:pPr>
      <w:r w:rsidRPr="003C397A">
        <w:rPr>
          <w:smallCaps/>
          <w:sz w:val="24"/>
        </w:rPr>
        <w:t xml:space="preserve">T.S. </w:t>
      </w:r>
      <w:proofErr w:type="spellStart"/>
      <w:r w:rsidRPr="003C397A">
        <w:rPr>
          <w:smallCaps/>
          <w:sz w:val="24"/>
        </w:rPr>
        <w:t>Renoux</w:t>
      </w:r>
      <w:proofErr w:type="spellEnd"/>
      <w:r w:rsidRPr="003C397A">
        <w:rPr>
          <w:smallCaps/>
          <w:sz w:val="24"/>
        </w:rPr>
        <w:t xml:space="preserve">, M. de Villiers, X. </w:t>
      </w:r>
      <w:proofErr w:type="spellStart"/>
      <w:r w:rsidRPr="003C397A">
        <w:rPr>
          <w:smallCaps/>
          <w:sz w:val="24"/>
        </w:rPr>
        <w:t>Magnon</w:t>
      </w:r>
      <w:proofErr w:type="spellEnd"/>
      <w:r w:rsidRPr="00114939">
        <w:rPr>
          <w:sz w:val="24"/>
        </w:rPr>
        <w:t xml:space="preserve">, </w:t>
      </w:r>
      <w:r w:rsidR="009D76B2">
        <w:rPr>
          <w:i/>
          <w:sz w:val="24"/>
        </w:rPr>
        <w:t>Code co</w:t>
      </w:r>
      <w:r w:rsidRPr="00114939">
        <w:rPr>
          <w:i/>
          <w:sz w:val="24"/>
        </w:rPr>
        <w:t>n</w:t>
      </w:r>
      <w:r w:rsidR="009D76B2">
        <w:rPr>
          <w:i/>
          <w:sz w:val="24"/>
        </w:rPr>
        <w:t>s</w:t>
      </w:r>
      <w:r w:rsidRPr="00114939">
        <w:rPr>
          <w:i/>
          <w:sz w:val="24"/>
        </w:rPr>
        <w:t>titutionnel</w:t>
      </w:r>
      <w:r w:rsidRPr="00114939">
        <w:rPr>
          <w:sz w:val="24"/>
        </w:rPr>
        <w:t xml:space="preserve">, </w:t>
      </w:r>
      <w:proofErr w:type="spellStart"/>
      <w:r w:rsidRPr="00114939">
        <w:rPr>
          <w:sz w:val="24"/>
        </w:rPr>
        <w:t>Lexisnexis</w:t>
      </w:r>
      <w:proofErr w:type="spellEnd"/>
      <w:r w:rsidRPr="00114939">
        <w:rPr>
          <w:sz w:val="24"/>
        </w:rPr>
        <w:t xml:space="preserve">, </w:t>
      </w:r>
      <w:r>
        <w:rPr>
          <w:sz w:val="24"/>
        </w:rPr>
        <w:t>8</w:t>
      </w:r>
      <w:r w:rsidRPr="00114939">
        <w:rPr>
          <w:sz w:val="24"/>
          <w:vertAlign w:val="superscript"/>
        </w:rPr>
        <w:t>ème</w:t>
      </w:r>
      <w:r>
        <w:rPr>
          <w:sz w:val="24"/>
        </w:rPr>
        <w:t xml:space="preserve"> édition, 2017</w:t>
      </w:r>
      <w:r w:rsidRPr="00114939">
        <w:rPr>
          <w:sz w:val="24"/>
        </w:rPr>
        <w:t xml:space="preserve">, </w:t>
      </w:r>
      <w:r>
        <w:rPr>
          <w:sz w:val="24"/>
        </w:rPr>
        <w:t>à paraître</w:t>
      </w:r>
      <w:r w:rsidRPr="00114939">
        <w:rPr>
          <w:sz w:val="24"/>
        </w:rPr>
        <w:t>.</w:t>
      </w:r>
    </w:p>
    <w:p w14:paraId="312AC69E" w14:textId="77777777" w:rsidR="005944CC" w:rsidRDefault="005944CC" w:rsidP="007D0D10">
      <w:pPr>
        <w:spacing w:line="240" w:lineRule="auto"/>
        <w:rPr>
          <w:sz w:val="24"/>
        </w:rPr>
      </w:pPr>
    </w:p>
    <w:p w14:paraId="51127743" w14:textId="77777777" w:rsidR="007D0D10" w:rsidRPr="005944CC" w:rsidRDefault="005944CC" w:rsidP="007D0D10">
      <w:pPr>
        <w:spacing w:line="240" w:lineRule="auto"/>
        <w:rPr>
          <w:rFonts w:ascii="Arial" w:hAnsi="Arial" w:cs="Arial"/>
          <w:b/>
          <w:sz w:val="24"/>
        </w:rPr>
      </w:pPr>
      <w:r w:rsidRPr="005944CC">
        <w:rPr>
          <w:rFonts w:ascii="Arial" w:hAnsi="Arial" w:cs="Arial"/>
          <w:b/>
          <w:sz w:val="24"/>
        </w:rPr>
        <w:t xml:space="preserve">§ I - </w:t>
      </w:r>
      <w:r w:rsidR="007D0D10" w:rsidRPr="005944CC">
        <w:rPr>
          <w:rFonts w:ascii="Arial" w:hAnsi="Arial" w:cs="Arial"/>
          <w:b/>
          <w:sz w:val="24"/>
        </w:rPr>
        <w:t>La Constitution, norme première de l’ordre juridique interne</w:t>
      </w:r>
    </w:p>
    <w:p w14:paraId="4C761357" w14:textId="77777777" w:rsidR="005944CC" w:rsidRDefault="005944CC" w:rsidP="00984127">
      <w:pPr>
        <w:spacing w:line="240" w:lineRule="auto"/>
        <w:rPr>
          <w:sz w:val="24"/>
        </w:rPr>
      </w:pPr>
    </w:p>
    <w:p w14:paraId="68D0CDD0" w14:textId="77777777" w:rsidR="008E1E53" w:rsidRPr="008E1E53" w:rsidRDefault="008E1E53" w:rsidP="008E1E53">
      <w:pPr>
        <w:spacing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6°) Qu’est-</w:t>
      </w:r>
      <w:r w:rsidRPr="008E1E53">
        <w:rPr>
          <w:rFonts w:ascii="Arial" w:hAnsi="Arial" w:cs="Arial"/>
          <w:sz w:val="24"/>
        </w:rPr>
        <w:t>ce que la Constitution de la V</w:t>
      </w:r>
      <w:r w:rsidRPr="008E1E53">
        <w:rPr>
          <w:rFonts w:ascii="Arial" w:hAnsi="Arial" w:cs="Arial"/>
          <w:sz w:val="24"/>
          <w:vertAlign w:val="superscript"/>
        </w:rPr>
        <w:t>ème</w:t>
      </w:r>
      <w:r w:rsidRPr="008E1E53">
        <w:rPr>
          <w:rFonts w:ascii="Arial" w:hAnsi="Arial" w:cs="Arial"/>
          <w:sz w:val="24"/>
        </w:rPr>
        <w:t xml:space="preserve"> République ? L</w:t>
      </w:r>
      <w:r>
        <w:rPr>
          <w:rFonts w:ascii="Arial" w:hAnsi="Arial" w:cs="Arial"/>
          <w:sz w:val="24"/>
        </w:rPr>
        <w:t>’</w:t>
      </w:r>
      <w:r w:rsidRPr="008E1E5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xtension par le Conseil constitutionnel de la Constitution formelle : le</w:t>
      </w:r>
      <w:r w:rsidRPr="008E1E53">
        <w:rPr>
          <w:rFonts w:ascii="Arial" w:hAnsi="Arial" w:cs="Arial"/>
          <w:sz w:val="24"/>
        </w:rPr>
        <w:t xml:space="preserve"> « bloc de constitutionnalité » et la décision du 16 juillet 1971, </w:t>
      </w:r>
      <w:r w:rsidRPr="008E1E53">
        <w:rPr>
          <w:rFonts w:ascii="Arial" w:hAnsi="Arial" w:cs="Arial"/>
          <w:i/>
          <w:sz w:val="24"/>
        </w:rPr>
        <w:t>Liberté d’association</w:t>
      </w:r>
    </w:p>
    <w:p w14:paraId="2D74A345" w14:textId="77777777" w:rsidR="008E1E53" w:rsidRDefault="008E1E53" w:rsidP="008E1E53">
      <w:pPr>
        <w:spacing w:line="340" w:lineRule="exact"/>
        <w:rPr>
          <w:sz w:val="24"/>
          <w:u w:val="single"/>
        </w:rPr>
      </w:pPr>
    </w:p>
    <w:p w14:paraId="6EA84775" w14:textId="77777777" w:rsidR="008E1E53" w:rsidRDefault="008E1E53" w:rsidP="008E1E53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t>Dispositions constitutionnelles de référence</w:t>
      </w:r>
      <w:r>
        <w:rPr>
          <w:sz w:val="24"/>
        </w:rPr>
        <w:t> : Préambule de la Constitution du 4 octobre 1958</w:t>
      </w:r>
    </w:p>
    <w:p w14:paraId="48CA58F3" w14:textId="77777777" w:rsidR="008E1E53" w:rsidRPr="00C40ED4" w:rsidRDefault="008E1E53" w:rsidP="008E1E53">
      <w:pPr>
        <w:spacing w:line="340" w:lineRule="exact"/>
        <w:rPr>
          <w:i/>
          <w:sz w:val="24"/>
        </w:rPr>
      </w:pPr>
      <w:r w:rsidRPr="00F03DCE">
        <w:rPr>
          <w:sz w:val="24"/>
          <w:u w:val="single"/>
        </w:rPr>
        <w:t>Jurisprudence</w:t>
      </w:r>
      <w:r>
        <w:rPr>
          <w:sz w:val="24"/>
        </w:rPr>
        <w:t> :</w:t>
      </w:r>
      <w:r w:rsidRPr="00946255">
        <w:rPr>
          <w:bCs/>
        </w:rPr>
        <w:t xml:space="preserve"> </w:t>
      </w:r>
      <w:r w:rsidRPr="00C40ED4">
        <w:rPr>
          <w:bCs/>
          <w:sz w:val="24"/>
        </w:rPr>
        <w:t xml:space="preserve">C.C., </w:t>
      </w:r>
      <w:r w:rsidRPr="00B132C2">
        <w:rPr>
          <w:bCs/>
          <w:sz w:val="24"/>
        </w:rPr>
        <w:t xml:space="preserve">n° 70-39, 19 juin 1970, </w:t>
      </w:r>
      <w:r w:rsidRPr="00B132C2">
        <w:rPr>
          <w:bCs/>
          <w:i/>
          <w:sz w:val="24"/>
        </w:rPr>
        <w:t>Traité de Luxembourg</w:t>
      </w:r>
      <w:r>
        <w:rPr>
          <w:bCs/>
          <w:sz w:val="24"/>
        </w:rPr>
        <w:t xml:space="preserve"> ; n° 71-44 DC, </w:t>
      </w:r>
      <w:r w:rsidRPr="00C40ED4">
        <w:rPr>
          <w:bCs/>
          <w:sz w:val="24"/>
        </w:rPr>
        <w:t xml:space="preserve">16 juillet 1971, </w:t>
      </w:r>
      <w:r w:rsidRPr="00C40ED4">
        <w:rPr>
          <w:bCs/>
          <w:i/>
          <w:iCs/>
          <w:sz w:val="24"/>
        </w:rPr>
        <w:t>Liberté d’association </w:t>
      </w:r>
      <w:r w:rsidRPr="00C40ED4">
        <w:rPr>
          <w:bCs/>
          <w:iCs/>
          <w:sz w:val="24"/>
        </w:rPr>
        <w:t xml:space="preserve">; </w:t>
      </w:r>
      <w:r>
        <w:rPr>
          <w:bCs/>
          <w:iCs/>
          <w:sz w:val="24"/>
        </w:rPr>
        <w:t xml:space="preserve">n° 73-51 DC, </w:t>
      </w:r>
      <w:r w:rsidRPr="00C40ED4">
        <w:rPr>
          <w:bCs/>
          <w:sz w:val="24"/>
        </w:rPr>
        <w:t xml:space="preserve">27 décembre 1973, </w:t>
      </w:r>
      <w:r w:rsidRPr="00C40ED4">
        <w:rPr>
          <w:bCs/>
          <w:i/>
          <w:iCs/>
          <w:sz w:val="24"/>
        </w:rPr>
        <w:t>Taxation d’office </w:t>
      </w:r>
      <w:r w:rsidRPr="00C40ED4">
        <w:rPr>
          <w:bCs/>
          <w:iCs/>
          <w:sz w:val="24"/>
        </w:rPr>
        <w:t xml:space="preserve">; </w:t>
      </w:r>
      <w:r>
        <w:rPr>
          <w:bCs/>
          <w:iCs/>
          <w:sz w:val="24"/>
        </w:rPr>
        <w:t xml:space="preserve">n° 74-54 DC, </w:t>
      </w:r>
      <w:r w:rsidRPr="00C40ED4">
        <w:rPr>
          <w:bCs/>
          <w:sz w:val="24"/>
        </w:rPr>
        <w:t xml:space="preserve">15 janvier 1975, </w:t>
      </w:r>
      <w:r w:rsidRPr="00C40ED4">
        <w:rPr>
          <w:bCs/>
          <w:i/>
          <w:iCs/>
          <w:sz w:val="24"/>
        </w:rPr>
        <w:t>Interruption volontaire de grossesse </w:t>
      </w:r>
      <w:r w:rsidRPr="00C40ED4">
        <w:rPr>
          <w:bCs/>
          <w:iCs/>
          <w:sz w:val="24"/>
        </w:rPr>
        <w:t xml:space="preserve">; </w:t>
      </w:r>
      <w:r>
        <w:rPr>
          <w:bCs/>
          <w:iCs/>
          <w:sz w:val="24"/>
        </w:rPr>
        <w:t xml:space="preserve">n° 81-132 DC, </w:t>
      </w:r>
      <w:r w:rsidRPr="00C40ED4">
        <w:rPr>
          <w:bCs/>
          <w:iCs/>
          <w:sz w:val="24"/>
        </w:rPr>
        <w:t xml:space="preserve">16 janvier 1982, </w:t>
      </w:r>
      <w:r w:rsidRPr="00C40ED4">
        <w:rPr>
          <w:bCs/>
          <w:i/>
          <w:iCs/>
          <w:sz w:val="24"/>
        </w:rPr>
        <w:t>Nationalisation</w:t>
      </w:r>
    </w:p>
    <w:p w14:paraId="15C34F73" w14:textId="77777777" w:rsidR="008E1E53" w:rsidRPr="00112177" w:rsidRDefault="008E1E53" w:rsidP="008E1E53">
      <w:pPr>
        <w:spacing w:line="340" w:lineRule="exact"/>
        <w:rPr>
          <w:sz w:val="24"/>
        </w:rPr>
      </w:pPr>
      <w:r w:rsidRPr="00B132C2">
        <w:rPr>
          <w:sz w:val="24"/>
          <w:u w:val="single"/>
        </w:rPr>
        <w:t xml:space="preserve">Référence dans le </w:t>
      </w:r>
      <w:r w:rsidRPr="00B132C2">
        <w:rPr>
          <w:i/>
          <w:sz w:val="24"/>
          <w:u w:val="single"/>
        </w:rPr>
        <w:t>Code constitutionnel</w:t>
      </w:r>
      <w:r>
        <w:rPr>
          <w:i/>
          <w:sz w:val="24"/>
        </w:rPr>
        <w:t> </w:t>
      </w:r>
      <w:r>
        <w:rPr>
          <w:sz w:val="24"/>
        </w:rPr>
        <w:t>: al. 1</w:t>
      </w:r>
      <w:r w:rsidRPr="00201077">
        <w:rPr>
          <w:sz w:val="24"/>
          <w:vertAlign w:val="superscript"/>
        </w:rPr>
        <w:t>er</w:t>
      </w:r>
      <w:r>
        <w:rPr>
          <w:sz w:val="24"/>
        </w:rPr>
        <w:t xml:space="preserve"> de la Constitution du 4 octobre 1958, p. 6 et s., art. 61 de la Constitution du 4 octobre 1958, p. 920 et s.</w:t>
      </w:r>
    </w:p>
    <w:p w14:paraId="00CBBB35" w14:textId="77777777" w:rsidR="008E1E53" w:rsidRPr="00B132C2" w:rsidRDefault="008E1E53" w:rsidP="008E1E53">
      <w:pPr>
        <w:spacing w:line="340" w:lineRule="exact"/>
        <w:rPr>
          <w:sz w:val="24"/>
        </w:rPr>
      </w:pPr>
      <w:r w:rsidRPr="00B132C2">
        <w:rPr>
          <w:sz w:val="24"/>
          <w:u w:val="single"/>
        </w:rPr>
        <w:t xml:space="preserve">Références bibliographiques </w:t>
      </w:r>
      <w:r>
        <w:rPr>
          <w:sz w:val="24"/>
          <w:u w:val="single"/>
        </w:rPr>
        <w:t xml:space="preserve">complémentaires et </w:t>
      </w:r>
      <w:r w:rsidRPr="00B132C2">
        <w:rPr>
          <w:sz w:val="24"/>
          <w:u w:val="single"/>
        </w:rPr>
        <w:t>indicatives</w:t>
      </w:r>
      <w:r w:rsidRPr="00B132C2">
        <w:rPr>
          <w:sz w:val="24"/>
        </w:rPr>
        <w:t xml:space="preserve"> : </w:t>
      </w:r>
    </w:p>
    <w:p w14:paraId="22D99E39" w14:textId="77777777" w:rsidR="008E1E53" w:rsidRPr="00B132C2" w:rsidRDefault="008E1E53" w:rsidP="008E1E53">
      <w:pPr>
        <w:spacing w:line="340" w:lineRule="exact"/>
        <w:rPr>
          <w:sz w:val="24"/>
        </w:rPr>
      </w:pPr>
      <w:proofErr w:type="spellStart"/>
      <w:r w:rsidRPr="00B132C2">
        <w:rPr>
          <w:smallCaps/>
          <w:sz w:val="24"/>
        </w:rPr>
        <w:lastRenderedPageBreak/>
        <w:t>Boudou</w:t>
      </w:r>
      <w:proofErr w:type="spellEnd"/>
      <w:r w:rsidRPr="00B132C2">
        <w:rPr>
          <w:sz w:val="24"/>
        </w:rPr>
        <w:t xml:space="preserve"> (G.), « Autopsie de la décision du Conseil constitutionnel du 16 juillet 1971 sur la liberté d’association », </w:t>
      </w:r>
      <w:r w:rsidRPr="00B132C2">
        <w:rPr>
          <w:i/>
          <w:sz w:val="24"/>
        </w:rPr>
        <w:t>RFDC</w:t>
      </w:r>
      <w:r w:rsidRPr="00B132C2">
        <w:rPr>
          <w:sz w:val="24"/>
        </w:rPr>
        <w:t>, 2014, n° 97, pp. 5-120.</w:t>
      </w:r>
    </w:p>
    <w:p w14:paraId="1197AC81" w14:textId="77777777" w:rsidR="008E1E53" w:rsidRPr="002568EC" w:rsidRDefault="008E1E53" w:rsidP="008E1E53">
      <w:pPr>
        <w:spacing w:line="340" w:lineRule="exact"/>
        <w:rPr>
          <w:sz w:val="24"/>
        </w:rPr>
      </w:pPr>
      <w:proofErr w:type="spellStart"/>
      <w:r w:rsidRPr="00B132C2">
        <w:rPr>
          <w:smallCaps/>
          <w:sz w:val="24"/>
          <w:lang w:val="en-GB"/>
        </w:rPr>
        <w:t>Haimbaugh</w:t>
      </w:r>
      <w:proofErr w:type="spellEnd"/>
      <w:r w:rsidRPr="00B132C2">
        <w:rPr>
          <w:sz w:val="24"/>
          <w:lang w:val="en-GB"/>
        </w:rPr>
        <w:t xml:space="preserve"> (G. D.), « </w:t>
      </w:r>
      <w:r w:rsidRPr="00B132C2">
        <w:rPr>
          <w:i/>
          <w:sz w:val="24"/>
          <w:lang w:val="en-GB"/>
        </w:rPr>
        <w:t xml:space="preserve">What is France’s </w:t>
      </w:r>
      <w:proofErr w:type="spellStart"/>
      <w:r w:rsidRPr="00B132C2">
        <w:rPr>
          <w:i/>
          <w:sz w:val="24"/>
          <w:lang w:val="en-GB"/>
        </w:rPr>
        <w:t>Marbury</w:t>
      </w:r>
      <w:proofErr w:type="spellEnd"/>
      <w:r w:rsidRPr="00B132C2">
        <w:rPr>
          <w:i/>
          <w:sz w:val="24"/>
          <w:lang w:val="en-GB"/>
        </w:rPr>
        <w:t xml:space="preserve"> v. </w:t>
      </w:r>
      <w:proofErr w:type="gramStart"/>
      <w:r w:rsidRPr="00B132C2">
        <w:rPr>
          <w:i/>
          <w:sz w:val="24"/>
          <w:lang w:val="en-GB"/>
        </w:rPr>
        <w:t>Madison ?</w:t>
      </w:r>
      <w:proofErr w:type="gramEnd"/>
      <w:r w:rsidRPr="00B132C2">
        <w:rPr>
          <w:sz w:val="24"/>
          <w:lang w:val="en-GB"/>
        </w:rPr>
        <w:t xml:space="preserve"> », </w:t>
      </w:r>
      <w:r w:rsidRPr="00B132C2">
        <w:rPr>
          <w:i/>
          <w:sz w:val="24"/>
          <w:lang w:val="en-GB"/>
        </w:rPr>
        <w:t>Ohio State Law Journal</w:t>
      </w:r>
      <w:r w:rsidRPr="00B132C2">
        <w:rPr>
          <w:sz w:val="24"/>
          <w:lang w:val="en-GB"/>
        </w:rPr>
        <w:t xml:space="preserve">, 1974, vol. </w:t>
      </w:r>
      <w:r w:rsidRPr="002568EC">
        <w:rPr>
          <w:sz w:val="24"/>
        </w:rPr>
        <w:t>XXXV, p. 910.</w:t>
      </w:r>
    </w:p>
    <w:p w14:paraId="02C18DE5" w14:textId="77777777" w:rsidR="008E1E53" w:rsidRPr="00B132C2" w:rsidRDefault="008E1E53" w:rsidP="008E1E53">
      <w:pPr>
        <w:spacing w:line="340" w:lineRule="exact"/>
        <w:rPr>
          <w:sz w:val="24"/>
        </w:rPr>
      </w:pPr>
      <w:proofErr w:type="spellStart"/>
      <w:r w:rsidRPr="00B132C2">
        <w:rPr>
          <w:smallCaps/>
          <w:sz w:val="24"/>
        </w:rPr>
        <w:t>Hourquebie</w:t>
      </w:r>
      <w:proofErr w:type="spellEnd"/>
      <w:r w:rsidRPr="00B132C2">
        <w:rPr>
          <w:sz w:val="24"/>
        </w:rPr>
        <w:t xml:space="preserve"> (F.), </w:t>
      </w:r>
      <w:proofErr w:type="spellStart"/>
      <w:r w:rsidRPr="00B132C2">
        <w:rPr>
          <w:smallCaps/>
          <w:sz w:val="24"/>
        </w:rPr>
        <w:t>Mastor</w:t>
      </w:r>
      <w:proofErr w:type="spellEnd"/>
      <w:r w:rsidRPr="00B132C2">
        <w:rPr>
          <w:sz w:val="24"/>
        </w:rPr>
        <w:t xml:space="preserve"> (W.) et </w:t>
      </w:r>
      <w:proofErr w:type="spellStart"/>
      <w:r w:rsidRPr="00B132C2">
        <w:rPr>
          <w:smallCaps/>
          <w:sz w:val="24"/>
        </w:rPr>
        <w:t>Mélin-Soucramanien</w:t>
      </w:r>
      <w:proofErr w:type="spellEnd"/>
      <w:r w:rsidRPr="00B132C2">
        <w:rPr>
          <w:sz w:val="24"/>
        </w:rPr>
        <w:t xml:space="preserve"> (F.), « Présentation de la période 1965-1974 », in </w:t>
      </w:r>
      <w:r w:rsidRPr="00B132C2">
        <w:rPr>
          <w:i/>
          <w:sz w:val="24"/>
        </w:rPr>
        <w:t>les Grandes délibérations du Conseil constitutionnel (1958-1983)</w:t>
      </w:r>
      <w:r w:rsidRPr="00B132C2">
        <w:rPr>
          <w:sz w:val="24"/>
        </w:rPr>
        <w:t>, sous la direction de B. </w:t>
      </w:r>
      <w:r w:rsidRPr="00B132C2">
        <w:rPr>
          <w:smallCaps/>
          <w:sz w:val="24"/>
        </w:rPr>
        <w:t>Mathieu, J.-P. </w:t>
      </w:r>
      <w:proofErr w:type="spellStart"/>
      <w:r w:rsidRPr="00B132C2">
        <w:rPr>
          <w:smallCaps/>
          <w:sz w:val="24"/>
        </w:rPr>
        <w:t>Machelon</w:t>
      </w:r>
      <w:proofErr w:type="spellEnd"/>
      <w:r w:rsidRPr="00B132C2">
        <w:rPr>
          <w:smallCaps/>
          <w:sz w:val="24"/>
        </w:rPr>
        <w:t>, F. </w:t>
      </w:r>
      <w:proofErr w:type="spellStart"/>
      <w:r w:rsidRPr="00B132C2">
        <w:rPr>
          <w:smallCaps/>
          <w:sz w:val="24"/>
        </w:rPr>
        <w:t>Mélin-Soucramanien</w:t>
      </w:r>
      <w:proofErr w:type="spellEnd"/>
      <w:r w:rsidRPr="00B132C2">
        <w:rPr>
          <w:smallCaps/>
          <w:sz w:val="24"/>
        </w:rPr>
        <w:t>, D. Rousseau, X. Philippe</w:t>
      </w:r>
      <w:r w:rsidRPr="00B132C2">
        <w:rPr>
          <w:sz w:val="24"/>
        </w:rPr>
        <w:t>, Dalloz, Grandes délibérations, pp. 147-149 et les délibérations n° 16 à 18.</w:t>
      </w:r>
    </w:p>
    <w:p w14:paraId="566D4ECA" w14:textId="77777777" w:rsidR="008E1E53" w:rsidRPr="00B132C2" w:rsidRDefault="008E1E53" w:rsidP="008E1E53">
      <w:pPr>
        <w:spacing w:line="340" w:lineRule="exact"/>
        <w:rPr>
          <w:i/>
          <w:sz w:val="24"/>
        </w:rPr>
      </w:pPr>
      <w:proofErr w:type="spellStart"/>
      <w:r w:rsidRPr="00B132C2">
        <w:rPr>
          <w:smallCaps/>
          <w:sz w:val="24"/>
        </w:rPr>
        <w:t>Rivero</w:t>
      </w:r>
      <w:proofErr w:type="spellEnd"/>
      <w:r w:rsidRPr="00B132C2">
        <w:rPr>
          <w:smallCaps/>
          <w:sz w:val="24"/>
        </w:rPr>
        <w:t xml:space="preserve"> (J.), </w:t>
      </w:r>
      <w:r w:rsidR="009A2DF7">
        <w:rPr>
          <w:sz w:val="24"/>
        </w:rPr>
        <w:t>« </w:t>
      </w:r>
      <w:r w:rsidRPr="00B132C2">
        <w:rPr>
          <w:sz w:val="24"/>
        </w:rPr>
        <w:t xml:space="preserve">Les « principes fondamentaux reconnus par les lois de la République » : une nouvelle catégorie constitutionnelle ? », </w:t>
      </w:r>
      <w:r w:rsidRPr="00B132C2">
        <w:rPr>
          <w:i/>
          <w:sz w:val="24"/>
        </w:rPr>
        <w:t>Rec. Dalloz</w:t>
      </w:r>
      <w:r w:rsidRPr="00B132C2">
        <w:rPr>
          <w:sz w:val="24"/>
        </w:rPr>
        <w:t xml:space="preserve">, 1972, </w:t>
      </w:r>
      <w:proofErr w:type="spellStart"/>
      <w:r w:rsidRPr="00B132C2">
        <w:rPr>
          <w:sz w:val="24"/>
        </w:rPr>
        <w:t>chron</w:t>
      </w:r>
      <w:proofErr w:type="spellEnd"/>
      <w:r w:rsidRPr="00B132C2">
        <w:rPr>
          <w:sz w:val="24"/>
        </w:rPr>
        <w:t>., pp. 265-268.</w:t>
      </w:r>
    </w:p>
    <w:p w14:paraId="3A746D3F" w14:textId="77777777" w:rsidR="008E1E53" w:rsidRDefault="008E1E53" w:rsidP="008E1E53">
      <w:pPr>
        <w:spacing w:line="340" w:lineRule="exact"/>
        <w:rPr>
          <w:i/>
          <w:sz w:val="24"/>
        </w:rPr>
      </w:pPr>
    </w:p>
    <w:p w14:paraId="1F8FD21F" w14:textId="77777777" w:rsidR="008E1E53" w:rsidRPr="00112177" w:rsidRDefault="008E1E53" w:rsidP="008E1E53">
      <w:pPr>
        <w:spacing w:line="340" w:lineRule="exact"/>
        <w:rPr>
          <w:sz w:val="24"/>
        </w:rPr>
      </w:pPr>
      <w:r w:rsidRPr="00112177">
        <w:rPr>
          <w:i/>
          <w:sz w:val="24"/>
        </w:rPr>
        <w:t>Pro</w:t>
      </w:r>
      <w:r w:rsidRPr="00112177">
        <w:rPr>
          <w:sz w:val="24"/>
        </w:rPr>
        <w:t xml:space="preserve"> : Une extension justifiée de la Constitution </w:t>
      </w:r>
    </w:p>
    <w:p w14:paraId="6B7CA6A2" w14:textId="77777777" w:rsidR="008E1E53" w:rsidRPr="00112177" w:rsidRDefault="008E1E53" w:rsidP="008E1E53">
      <w:pPr>
        <w:spacing w:line="340" w:lineRule="exact"/>
        <w:rPr>
          <w:sz w:val="24"/>
        </w:rPr>
      </w:pPr>
      <w:r w:rsidRPr="00112177">
        <w:rPr>
          <w:i/>
          <w:sz w:val="24"/>
        </w:rPr>
        <w:t>Contra </w:t>
      </w:r>
      <w:r w:rsidRPr="00112177">
        <w:rPr>
          <w:sz w:val="24"/>
        </w:rPr>
        <w:t>: Une extension irrégulière de la Constitution</w:t>
      </w:r>
    </w:p>
    <w:p w14:paraId="2811779C" w14:textId="77777777" w:rsidR="008E1E53" w:rsidRPr="00112177" w:rsidRDefault="008E1E53" w:rsidP="008E1E53">
      <w:pPr>
        <w:spacing w:line="340" w:lineRule="exact"/>
        <w:rPr>
          <w:sz w:val="24"/>
        </w:rPr>
      </w:pPr>
    </w:p>
    <w:p w14:paraId="41265EBC" w14:textId="77777777" w:rsidR="003C397A" w:rsidRPr="009922E4" w:rsidRDefault="003C397A" w:rsidP="003C397A">
      <w:pPr>
        <w:spacing w:line="340" w:lineRule="exact"/>
        <w:rPr>
          <w:rFonts w:ascii="Arial" w:hAnsi="Arial" w:cs="Arial"/>
          <w:sz w:val="24"/>
        </w:rPr>
      </w:pPr>
      <w:r w:rsidRPr="009922E4">
        <w:rPr>
          <w:rFonts w:ascii="Arial" w:hAnsi="Arial" w:cs="Arial"/>
          <w:sz w:val="24"/>
        </w:rPr>
        <w:t>7°) Peut-on réviser la Constitution par la procédure de l’article 11 de la Constitution ?</w:t>
      </w:r>
    </w:p>
    <w:p w14:paraId="780D1B93" w14:textId="77777777" w:rsidR="003C397A" w:rsidRDefault="003C397A" w:rsidP="003C397A">
      <w:pPr>
        <w:spacing w:line="340" w:lineRule="exact"/>
        <w:rPr>
          <w:sz w:val="24"/>
          <w:u w:val="single"/>
        </w:rPr>
      </w:pPr>
    </w:p>
    <w:p w14:paraId="29E7C8F8" w14:textId="77777777" w:rsidR="003C397A" w:rsidRDefault="003C397A" w:rsidP="003C397A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t>Dispositions constitutionnelles de référence</w:t>
      </w:r>
      <w:r>
        <w:rPr>
          <w:sz w:val="24"/>
        </w:rPr>
        <w:t> : art. 11 et 89 de la Constitution.</w:t>
      </w:r>
    </w:p>
    <w:p w14:paraId="3C15A198" w14:textId="77777777" w:rsidR="003C397A" w:rsidRDefault="003C397A" w:rsidP="003C397A">
      <w:pPr>
        <w:spacing w:line="340" w:lineRule="exact"/>
        <w:rPr>
          <w:i/>
          <w:sz w:val="24"/>
        </w:rPr>
      </w:pPr>
      <w:r w:rsidRPr="00F03DCE">
        <w:rPr>
          <w:sz w:val="24"/>
          <w:u w:val="single"/>
        </w:rPr>
        <w:t>Jurisprudence</w:t>
      </w:r>
      <w:r>
        <w:rPr>
          <w:sz w:val="24"/>
        </w:rPr>
        <w:t xml:space="preserve"> : C.C., n° 62-20 DC, 6 novembre 1962, </w:t>
      </w:r>
      <w:r>
        <w:rPr>
          <w:i/>
          <w:sz w:val="24"/>
        </w:rPr>
        <w:t>Loi référendaire </w:t>
      </w:r>
      <w:r>
        <w:rPr>
          <w:sz w:val="24"/>
        </w:rPr>
        <w:t xml:space="preserve">; n° 92-313 DC, 23 septembre 1992, </w:t>
      </w:r>
      <w:proofErr w:type="spellStart"/>
      <w:r>
        <w:rPr>
          <w:i/>
          <w:sz w:val="24"/>
        </w:rPr>
        <w:t>Massticht</w:t>
      </w:r>
      <w:proofErr w:type="spellEnd"/>
      <w:r>
        <w:rPr>
          <w:i/>
          <w:sz w:val="24"/>
        </w:rPr>
        <w:t xml:space="preserve"> III</w:t>
      </w:r>
    </w:p>
    <w:p w14:paraId="24E51358" w14:textId="77777777" w:rsidR="003C397A" w:rsidRPr="00A842E3" w:rsidRDefault="003C397A" w:rsidP="003C397A">
      <w:pPr>
        <w:spacing w:line="340" w:lineRule="exact"/>
        <w:rPr>
          <w:sz w:val="24"/>
          <w:lang w:val="en-GB"/>
        </w:rPr>
      </w:pPr>
      <w:r w:rsidRPr="00A842E3">
        <w:rPr>
          <w:sz w:val="24"/>
          <w:lang w:val="en-GB"/>
        </w:rPr>
        <w:t xml:space="preserve">C.E., Ass., </w:t>
      </w:r>
      <w:r>
        <w:rPr>
          <w:sz w:val="24"/>
          <w:lang w:val="en-GB"/>
        </w:rPr>
        <w:t xml:space="preserve">19 </w:t>
      </w:r>
      <w:proofErr w:type="spellStart"/>
      <w:r>
        <w:rPr>
          <w:sz w:val="24"/>
          <w:lang w:val="en-GB"/>
        </w:rPr>
        <w:t>octobre</w:t>
      </w:r>
      <w:proofErr w:type="spellEnd"/>
      <w:r>
        <w:rPr>
          <w:sz w:val="24"/>
          <w:lang w:val="en-GB"/>
        </w:rPr>
        <w:t xml:space="preserve"> 1962, </w:t>
      </w:r>
      <w:proofErr w:type="spellStart"/>
      <w:proofErr w:type="gramStart"/>
      <w:r w:rsidRPr="00A842E3">
        <w:rPr>
          <w:i/>
          <w:sz w:val="24"/>
          <w:lang w:val="en-GB"/>
        </w:rPr>
        <w:t>Brocas</w:t>
      </w:r>
      <w:proofErr w:type="spellEnd"/>
      <w:r>
        <w:rPr>
          <w:sz w:val="24"/>
          <w:lang w:val="en-GB"/>
        </w:rPr>
        <w:t xml:space="preserve"> ;</w:t>
      </w:r>
      <w:proofErr w:type="gramEnd"/>
      <w:r>
        <w:rPr>
          <w:sz w:val="24"/>
          <w:lang w:val="en-GB"/>
        </w:rPr>
        <w:t xml:space="preserve"> </w:t>
      </w:r>
      <w:r w:rsidRPr="00A842E3">
        <w:rPr>
          <w:rStyle w:val="rdec"/>
          <w:color w:val="auto"/>
          <w:sz w:val="24"/>
          <w:lang w:val="en-GB"/>
        </w:rPr>
        <w:t>Ass., 30 oct. 1998</w:t>
      </w:r>
      <w:r w:rsidRPr="00A842E3">
        <w:rPr>
          <w:sz w:val="24"/>
          <w:lang w:val="en-GB"/>
        </w:rPr>
        <w:t xml:space="preserve">, </w:t>
      </w:r>
      <w:proofErr w:type="spellStart"/>
      <w:r w:rsidRPr="00A842E3">
        <w:rPr>
          <w:i/>
          <w:iCs/>
          <w:sz w:val="24"/>
          <w:lang w:val="en-GB"/>
        </w:rPr>
        <w:t>Sarran</w:t>
      </w:r>
      <w:proofErr w:type="spellEnd"/>
      <w:r w:rsidRPr="00A842E3">
        <w:rPr>
          <w:i/>
          <w:iCs/>
          <w:sz w:val="24"/>
          <w:lang w:val="en-GB"/>
        </w:rPr>
        <w:t> </w:t>
      </w:r>
    </w:p>
    <w:p w14:paraId="0323E99E" w14:textId="77777777" w:rsidR="003C397A" w:rsidRPr="008A5543" w:rsidRDefault="003C397A" w:rsidP="003C397A">
      <w:pPr>
        <w:spacing w:line="340" w:lineRule="exact"/>
        <w:rPr>
          <w:i/>
          <w:sz w:val="24"/>
          <w:u w:val="single"/>
        </w:rPr>
      </w:pPr>
      <w:r w:rsidRPr="008A5543">
        <w:rPr>
          <w:sz w:val="24"/>
          <w:u w:val="single"/>
        </w:rPr>
        <w:t xml:space="preserve">Référence dans le </w:t>
      </w:r>
      <w:r w:rsidRPr="008A5543">
        <w:rPr>
          <w:i/>
          <w:sz w:val="24"/>
          <w:u w:val="single"/>
        </w:rPr>
        <w:t>Code constitutionnel </w:t>
      </w:r>
      <w:r w:rsidRPr="008A5543">
        <w:rPr>
          <w:sz w:val="24"/>
          <w:u w:val="single"/>
        </w:rPr>
        <w:t>:</w:t>
      </w:r>
      <w:r w:rsidRPr="00A842E3">
        <w:rPr>
          <w:sz w:val="24"/>
        </w:rPr>
        <w:t xml:space="preserve"> sous art. 11 C., et sous art. 89 C</w:t>
      </w:r>
      <w:r>
        <w:rPr>
          <w:sz w:val="24"/>
        </w:rPr>
        <w:t>.</w:t>
      </w:r>
    </w:p>
    <w:p w14:paraId="13C6134A" w14:textId="77777777" w:rsidR="003C397A" w:rsidRDefault="003C397A" w:rsidP="003C397A">
      <w:pPr>
        <w:spacing w:line="340" w:lineRule="exact"/>
        <w:rPr>
          <w:i/>
          <w:sz w:val="24"/>
        </w:rPr>
      </w:pPr>
    </w:p>
    <w:p w14:paraId="30DEBCE7" w14:textId="77777777" w:rsidR="003C397A" w:rsidRDefault="003C397A" w:rsidP="003C397A">
      <w:pPr>
        <w:spacing w:line="340" w:lineRule="exact"/>
        <w:rPr>
          <w:sz w:val="24"/>
        </w:rPr>
      </w:pPr>
      <w:r w:rsidRPr="00AC1BF7">
        <w:rPr>
          <w:sz w:val="24"/>
          <w:u w:val="single"/>
        </w:rPr>
        <w:t>Références bibliographiques indicatives</w:t>
      </w:r>
      <w:r>
        <w:rPr>
          <w:sz w:val="24"/>
        </w:rPr>
        <w:t> :</w:t>
      </w:r>
    </w:p>
    <w:p w14:paraId="6C01AB2E" w14:textId="77777777" w:rsidR="003C397A" w:rsidRPr="00F5719A" w:rsidRDefault="003C397A" w:rsidP="003C397A">
      <w:pPr>
        <w:spacing w:line="340" w:lineRule="exact"/>
        <w:rPr>
          <w:sz w:val="24"/>
        </w:rPr>
      </w:pPr>
      <w:proofErr w:type="spellStart"/>
      <w:r w:rsidRPr="00F5719A">
        <w:rPr>
          <w:smallCaps/>
          <w:sz w:val="24"/>
        </w:rPr>
        <w:t>Berlia</w:t>
      </w:r>
      <w:proofErr w:type="spellEnd"/>
      <w:r w:rsidRPr="00F5719A">
        <w:rPr>
          <w:sz w:val="24"/>
        </w:rPr>
        <w:t xml:space="preserve"> (G.), « Le problème de la constitutionnalité du référendum du 28 octobre 1962 », </w:t>
      </w:r>
      <w:r w:rsidRPr="00F5719A">
        <w:rPr>
          <w:i/>
          <w:sz w:val="24"/>
        </w:rPr>
        <w:t>RDP</w:t>
      </w:r>
      <w:r w:rsidRPr="00F5719A">
        <w:rPr>
          <w:sz w:val="24"/>
        </w:rPr>
        <w:t xml:space="preserve">, 1962, </w:t>
      </w:r>
      <w:r>
        <w:rPr>
          <w:sz w:val="24"/>
        </w:rPr>
        <w:t xml:space="preserve">pp. </w:t>
      </w:r>
      <w:r w:rsidRPr="00F5719A">
        <w:rPr>
          <w:sz w:val="24"/>
        </w:rPr>
        <w:t>936</w:t>
      </w:r>
      <w:r>
        <w:rPr>
          <w:sz w:val="24"/>
        </w:rPr>
        <w:t>-946</w:t>
      </w:r>
      <w:r w:rsidRPr="00F5719A">
        <w:rPr>
          <w:sz w:val="24"/>
        </w:rPr>
        <w:t>.</w:t>
      </w:r>
    </w:p>
    <w:p w14:paraId="1710E592" w14:textId="77777777" w:rsidR="003C397A" w:rsidRPr="00ED4A9E" w:rsidRDefault="003C397A" w:rsidP="003C397A">
      <w:pPr>
        <w:autoSpaceDE w:val="0"/>
        <w:autoSpaceDN w:val="0"/>
        <w:adjustRightInd w:val="0"/>
        <w:spacing w:line="340" w:lineRule="exact"/>
        <w:rPr>
          <w:rFonts w:cs="TimesNewRomanPSMT"/>
          <w:sz w:val="24"/>
          <w:lang w:bidi="ar-SA"/>
        </w:rPr>
      </w:pPr>
      <w:proofErr w:type="spellStart"/>
      <w:r w:rsidRPr="00ED4A9E">
        <w:rPr>
          <w:rFonts w:cs="TimesNewRomanPSMT"/>
          <w:smallCaps/>
          <w:sz w:val="24"/>
          <w:lang w:bidi="ar-SA"/>
        </w:rPr>
        <w:t>Conac</w:t>
      </w:r>
      <w:proofErr w:type="spellEnd"/>
      <w:r w:rsidRPr="00ED4A9E">
        <w:rPr>
          <w:rFonts w:cs="TimesNewRomanPSMT"/>
          <w:smallCaps/>
          <w:sz w:val="24"/>
          <w:lang w:bidi="ar-SA"/>
        </w:rPr>
        <w:t xml:space="preserve"> </w:t>
      </w:r>
      <w:r w:rsidRPr="00ED4A9E">
        <w:rPr>
          <w:rFonts w:cs="TimesNewRomanPSMT"/>
          <w:sz w:val="24"/>
          <w:lang w:bidi="ar-SA"/>
        </w:rPr>
        <w:t xml:space="preserve">(G.), « Les débats sur le référendum sous la Ve République », </w:t>
      </w:r>
      <w:r w:rsidRPr="00ED4A9E">
        <w:rPr>
          <w:rFonts w:cs="TimesNewRomanPS-ItalicMT"/>
          <w:i/>
          <w:iCs/>
          <w:sz w:val="24"/>
          <w:lang w:bidi="ar-SA"/>
        </w:rPr>
        <w:t>Pouvoirs</w:t>
      </w:r>
      <w:r w:rsidRPr="00ED4A9E">
        <w:rPr>
          <w:rFonts w:cs="TimesNewRomanPSMT"/>
          <w:sz w:val="24"/>
          <w:lang w:bidi="ar-SA"/>
        </w:rPr>
        <w:t>, 1996, n° 77, p</w:t>
      </w:r>
      <w:r>
        <w:rPr>
          <w:rFonts w:cs="TimesNewRomanPSMT"/>
          <w:sz w:val="24"/>
          <w:lang w:bidi="ar-SA"/>
        </w:rPr>
        <w:t>p. 95-108</w:t>
      </w:r>
      <w:r w:rsidRPr="00ED4A9E">
        <w:rPr>
          <w:rFonts w:cs="TimesNewRomanPSMT"/>
          <w:sz w:val="24"/>
          <w:lang w:bidi="ar-SA"/>
        </w:rPr>
        <w:t>.</w:t>
      </w:r>
    </w:p>
    <w:p w14:paraId="7E43CE34" w14:textId="77777777" w:rsidR="003C397A" w:rsidRPr="00DC46ED" w:rsidRDefault="003C397A" w:rsidP="003C397A">
      <w:pPr>
        <w:spacing w:line="340" w:lineRule="exact"/>
        <w:rPr>
          <w:sz w:val="24"/>
        </w:rPr>
      </w:pPr>
      <w:r w:rsidRPr="00DC46ED">
        <w:rPr>
          <w:rFonts w:cs="TimesNewRomanPSMT"/>
          <w:smallCaps/>
          <w:sz w:val="24"/>
          <w:lang w:bidi="ar-SA"/>
        </w:rPr>
        <w:t>Duverger</w:t>
      </w:r>
      <w:r w:rsidRPr="00DC46ED">
        <w:rPr>
          <w:rFonts w:cs="TimesNewRomanPSMT"/>
          <w:sz w:val="24"/>
          <w:lang w:bidi="ar-SA"/>
        </w:rPr>
        <w:t xml:space="preserve"> (M.), « La validité du scrutin du 28 octobre », </w:t>
      </w:r>
      <w:r w:rsidRPr="00DC46ED">
        <w:rPr>
          <w:rFonts w:cs="TimesNewRomanPS-ItalicMT"/>
          <w:i/>
          <w:iCs/>
          <w:sz w:val="24"/>
          <w:lang w:bidi="ar-SA"/>
        </w:rPr>
        <w:t>Le Monde</w:t>
      </w:r>
      <w:r w:rsidRPr="00DC46ED">
        <w:rPr>
          <w:rFonts w:cs="TimesNewRomanPSMT"/>
          <w:sz w:val="24"/>
          <w:lang w:bidi="ar-SA"/>
        </w:rPr>
        <w:t xml:space="preserve">, 17 octobre 1962. </w:t>
      </w:r>
    </w:p>
    <w:p w14:paraId="0A4A9BA0" w14:textId="77777777" w:rsidR="003C397A" w:rsidRPr="00DC46ED" w:rsidRDefault="003C397A" w:rsidP="003C397A">
      <w:pPr>
        <w:autoSpaceDE w:val="0"/>
        <w:autoSpaceDN w:val="0"/>
        <w:adjustRightInd w:val="0"/>
        <w:spacing w:line="340" w:lineRule="exact"/>
        <w:rPr>
          <w:sz w:val="24"/>
        </w:rPr>
      </w:pPr>
      <w:proofErr w:type="spellStart"/>
      <w:r w:rsidRPr="00DC46ED">
        <w:rPr>
          <w:rFonts w:cs="TimesNewRomanPSMT"/>
          <w:smallCaps/>
          <w:sz w:val="24"/>
          <w:lang w:bidi="ar-SA"/>
        </w:rPr>
        <w:t>Goguel</w:t>
      </w:r>
      <w:proofErr w:type="spellEnd"/>
      <w:r>
        <w:rPr>
          <w:rFonts w:cs="TimesNewRomanPSMT"/>
          <w:sz w:val="24"/>
          <w:lang w:bidi="ar-SA"/>
        </w:rPr>
        <w:t xml:space="preserve"> (F.)</w:t>
      </w:r>
      <w:r w:rsidRPr="00DC46ED">
        <w:rPr>
          <w:rFonts w:cs="TimesNewRomanPSMT"/>
          <w:sz w:val="24"/>
          <w:lang w:bidi="ar-SA"/>
        </w:rPr>
        <w:t xml:space="preserve">, « De la conformité du référendum du 28 octobre 1962 », in </w:t>
      </w:r>
      <w:r w:rsidRPr="00DC46ED">
        <w:rPr>
          <w:rFonts w:cs="TimesNewRomanPS-ItalicMT"/>
          <w:i/>
          <w:iCs/>
          <w:sz w:val="24"/>
          <w:lang w:bidi="ar-SA"/>
        </w:rPr>
        <w:t>Droit, institutions et</w:t>
      </w:r>
      <w:r>
        <w:rPr>
          <w:rFonts w:cs="TimesNewRomanPS-ItalicMT"/>
          <w:i/>
          <w:iCs/>
          <w:sz w:val="24"/>
          <w:lang w:bidi="ar-SA"/>
        </w:rPr>
        <w:t xml:space="preserve"> </w:t>
      </w:r>
      <w:r w:rsidRPr="00DC46ED">
        <w:rPr>
          <w:rFonts w:cs="TimesNewRomanPS-ItalicMT"/>
          <w:i/>
          <w:iCs/>
          <w:sz w:val="24"/>
          <w:lang w:bidi="ar-SA"/>
        </w:rPr>
        <w:t>systèmes politiques. Mélanges en hommage à Maurice Duverger</w:t>
      </w:r>
      <w:r>
        <w:rPr>
          <w:rFonts w:cs="TimesNewRomanPSMT"/>
          <w:sz w:val="24"/>
          <w:lang w:bidi="ar-SA"/>
        </w:rPr>
        <w:t>, PUF</w:t>
      </w:r>
      <w:r w:rsidRPr="00DC46ED">
        <w:rPr>
          <w:rFonts w:cs="TimesNewRomanPSMT"/>
          <w:sz w:val="24"/>
          <w:lang w:bidi="ar-SA"/>
        </w:rPr>
        <w:t>, 1987, pp. 115</w:t>
      </w:r>
      <w:r>
        <w:rPr>
          <w:rFonts w:cs="TimesNewRomanPSMT"/>
          <w:sz w:val="24"/>
          <w:lang w:bidi="ar-SA"/>
        </w:rPr>
        <w:t>-125.</w:t>
      </w:r>
    </w:p>
    <w:p w14:paraId="6B4110FB" w14:textId="77777777" w:rsidR="003C397A" w:rsidRPr="003674F1" w:rsidRDefault="003C397A" w:rsidP="003C397A">
      <w:pPr>
        <w:spacing w:line="340" w:lineRule="exact"/>
        <w:rPr>
          <w:sz w:val="24"/>
        </w:rPr>
      </w:pPr>
      <w:proofErr w:type="spellStart"/>
      <w:r w:rsidRPr="003674F1">
        <w:rPr>
          <w:smallCaps/>
          <w:sz w:val="24"/>
        </w:rPr>
        <w:t>Lampué</w:t>
      </w:r>
      <w:proofErr w:type="spellEnd"/>
      <w:r w:rsidRPr="003674F1">
        <w:rPr>
          <w:smallCaps/>
          <w:sz w:val="24"/>
        </w:rPr>
        <w:t xml:space="preserve"> </w:t>
      </w:r>
      <w:r w:rsidRPr="003674F1">
        <w:rPr>
          <w:sz w:val="24"/>
        </w:rPr>
        <w:t xml:space="preserve">(P.), </w:t>
      </w:r>
      <w:r w:rsidRPr="003674F1">
        <w:rPr>
          <w:i/>
          <w:sz w:val="24"/>
        </w:rPr>
        <w:t>RDP</w:t>
      </w:r>
      <w:r w:rsidRPr="003674F1">
        <w:rPr>
          <w:sz w:val="24"/>
        </w:rPr>
        <w:t>, 1962, 931</w:t>
      </w:r>
    </w:p>
    <w:p w14:paraId="3A354E71" w14:textId="77777777" w:rsidR="003C397A" w:rsidRPr="003674F1" w:rsidRDefault="003C397A" w:rsidP="003C397A">
      <w:pPr>
        <w:autoSpaceDE w:val="0"/>
        <w:autoSpaceDN w:val="0"/>
        <w:adjustRightInd w:val="0"/>
        <w:spacing w:line="340" w:lineRule="exact"/>
        <w:rPr>
          <w:rFonts w:cs="TimesNewRomanPSMT"/>
          <w:sz w:val="24"/>
          <w:lang w:bidi="ar-SA"/>
        </w:rPr>
      </w:pPr>
      <w:r w:rsidRPr="003674F1">
        <w:rPr>
          <w:rFonts w:cs="TimesNewRomanPSMT"/>
          <w:smallCaps/>
          <w:sz w:val="24"/>
          <w:lang w:bidi="ar-SA"/>
        </w:rPr>
        <w:t>Mollet</w:t>
      </w:r>
      <w:r w:rsidRPr="003674F1">
        <w:rPr>
          <w:rFonts w:cs="TimesNewRomanPSMT"/>
          <w:sz w:val="24"/>
          <w:lang w:bidi="ar-SA"/>
        </w:rPr>
        <w:t xml:space="preserve"> (G.), « Le président n’a pas le droit de proposer d’autres procédures que celles prévues par la</w:t>
      </w:r>
      <w:r>
        <w:rPr>
          <w:rFonts w:cs="TimesNewRomanPSMT"/>
          <w:sz w:val="24"/>
          <w:lang w:bidi="ar-SA"/>
        </w:rPr>
        <w:t xml:space="preserve"> </w:t>
      </w:r>
      <w:r w:rsidRPr="003674F1">
        <w:rPr>
          <w:rFonts w:cs="TimesNewRomanPSMT"/>
          <w:sz w:val="24"/>
          <w:lang w:bidi="ar-SA"/>
        </w:rPr>
        <w:t xml:space="preserve">Constitution », </w:t>
      </w:r>
      <w:r w:rsidRPr="003674F1">
        <w:rPr>
          <w:rFonts w:cs="TimesNewRomanPS-ItalicMT"/>
          <w:i/>
          <w:iCs/>
          <w:sz w:val="24"/>
          <w:lang w:bidi="ar-SA"/>
        </w:rPr>
        <w:t>Le Monde</w:t>
      </w:r>
      <w:r w:rsidRPr="003674F1">
        <w:rPr>
          <w:rFonts w:cs="TimesNewRomanPSMT"/>
          <w:sz w:val="24"/>
          <w:lang w:bidi="ar-SA"/>
        </w:rPr>
        <w:t>, 17 avril 1969.</w:t>
      </w:r>
    </w:p>
    <w:p w14:paraId="2A0F1633" w14:textId="77777777" w:rsidR="003C397A" w:rsidRPr="00193F9D" w:rsidRDefault="003C397A" w:rsidP="003C397A">
      <w:pPr>
        <w:spacing w:line="340" w:lineRule="exact"/>
        <w:rPr>
          <w:sz w:val="24"/>
        </w:rPr>
      </w:pPr>
      <w:proofErr w:type="spellStart"/>
      <w:r w:rsidRPr="00CA6A57">
        <w:rPr>
          <w:smallCaps/>
          <w:sz w:val="24"/>
        </w:rPr>
        <w:t>Prélot</w:t>
      </w:r>
      <w:proofErr w:type="spellEnd"/>
      <w:r w:rsidRPr="00CA6A57">
        <w:rPr>
          <w:smallCaps/>
          <w:sz w:val="24"/>
        </w:rPr>
        <w:t xml:space="preserve"> </w:t>
      </w:r>
      <w:r>
        <w:rPr>
          <w:sz w:val="24"/>
        </w:rPr>
        <w:t xml:space="preserve">(M.), « Sur une interprétation coutumière de l’article 11 », </w:t>
      </w:r>
      <w:r>
        <w:rPr>
          <w:i/>
          <w:sz w:val="24"/>
        </w:rPr>
        <w:t>Le Monde</w:t>
      </w:r>
      <w:r>
        <w:rPr>
          <w:sz w:val="24"/>
        </w:rPr>
        <w:t>, 15 mars 1969.</w:t>
      </w:r>
    </w:p>
    <w:p w14:paraId="1FD37181" w14:textId="77777777" w:rsidR="003C397A" w:rsidRPr="00193F9D" w:rsidRDefault="003C397A" w:rsidP="003C397A">
      <w:pPr>
        <w:spacing w:line="340" w:lineRule="exact"/>
        <w:rPr>
          <w:sz w:val="24"/>
        </w:rPr>
      </w:pPr>
      <w:r w:rsidRPr="00CA6A57">
        <w:rPr>
          <w:smallCaps/>
          <w:sz w:val="24"/>
        </w:rPr>
        <w:t xml:space="preserve">Vedel </w:t>
      </w:r>
      <w:r>
        <w:rPr>
          <w:sz w:val="24"/>
        </w:rPr>
        <w:t xml:space="preserve">(G.), « Le droit par la coutume », </w:t>
      </w:r>
      <w:r>
        <w:rPr>
          <w:i/>
          <w:sz w:val="24"/>
        </w:rPr>
        <w:t>Le Monde</w:t>
      </w:r>
      <w:r>
        <w:rPr>
          <w:sz w:val="24"/>
        </w:rPr>
        <w:t xml:space="preserve">, 22-23 décembre 1968. </w:t>
      </w:r>
    </w:p>
    <w:p w14:paraId="0DB62693" w14:textId="77777777" w:rsidR="003C397A" w:rsidRDefault="003C397A" w:rsidP="003C397A">
      <w:pPr>
        <w:spacing w:line="340" w:lineRule="exact"/>
        <w:rPr>
          <w:i/>
          <w:sz w:val="24"/>
        </w:rPr>
      </w:pPr>
    </w:p>
    <w:p w14:paraId="1FF29E89" w14:textId="77777777" w:rsidR="003C397A" w:rsidRPr="008A5543" w:rsidRDefault="003C397A" w:rsidP="003C397A">
      <w:pPr>
        <w:spacing w:line="340" w:lineRule="exact"/>
        <w:rPr>
          <w:sz w:val="24"/>
        </w:rPr>
      </w:pPr>
      <w:r w:rsidRPr="008A5543">
        <w:rPr>
          <w:i/>
          <w:sz w:val="24"/>
        </w:rPr>
        <w:t>Pro</w:t>
      </w:r>
      <w:r w:rsidRPr="008A5543">
        <w:rPr>
          <w:sz w:val="24"/>
        </w:rPr>
        <w:t> : une procédure légitime</w:t>
      </w:r>
    </w:p>
    <w:p w14:paraId="39B8AC09" w14:textId="77777777" w:rsidR="003C397A" w:rsidRPr="008A5543" w:rsidRDefault="003C397A" w:rsidP="003C397A">
      <w:pPr>
        <w:spacing w:line="340" w:lineRule="exact"/>
        <w:rPr>
          <w:sz w:val="24"/>
        </w:rPr>
      </w:pPr>
      <w:r w:rsidRPr="008A5543">
        <w:rPr>
          <w:i/>
          <w:sz w:val="24"/>
        </w:rPr>
        <w:t>Contra </w:t>
      </w:r>
      <w:r w:rsidRPr="008A5543">
        <w:rPr>
          <w:sz w:val="24"/>
        </w:rPr>
        <w:t>: une procédure irrégulière</w:t>
      </w:r>
    </w:p>
    <w:p w14:paraId="7CACACEF" w14:textId="77777777" w:rsidR="003C397A" w:rsidRPr="008A5543" w:rsidRDefault="003C397A" w:rsidP="003C397A">
      <w:pPr>
        <w:spacing w:line="340" w:lineRule="exact"/>
        <w:rPr>
          <w:sz w:val="24"/>
        </w:rPr>
      </w:pPr>
    </w:p>
    <w:p w14:paraId="07733A99" w14:textId="77777777" w:rsidR="003C397A" w:rsidRPr="009922E4" w:rsidRDefault="003C397A" w:rsidP="003C397A">
      <w:pPr>
        <w:spacing w:line="340" w:lineRule="exact"/>
        <w:rPr>
          <w:rFonts w:ascii="Arial" w:hAnsi="Arial" w:cs="Arial"/>
          <w:sz w:val="24"/>
        </w:rPr>
      </w:pPr>
      <w:r w:rsidRPr="009922E4">
        <w:rPr>
          <w:rFonts w:ascii="Arial" w:hAnsi="Arial" w:cs="Arial"/>
          <w:sz w:val="24"/>
        </w:rPr>
        <w:t>8°) Existe-t-il des limites au pouvoir de révision constitutionnelle ?</w:t>
      </w:r>
    </w:p>
    <w:p w14:paraId="6A9BB71A" w14:textId="77777777" w:rsidR="003C397A" w:rsidRDefault="003C397A" w:rsidP="003C397A">
      <w:pPr>
        <w:spacing w:line="340" w:lineRule="exact"/>
        <w:rPr>
          <w:sz w:val="24"/>
          <w:u w:val="single"/>
        </w:rPr>
      </w:pPr>
    </w:p>
    <w:p w14:paraId="72CC5122" w14:textId="77777777" w:rsidR="003C397A" w:rsidRDefault="003C397A" w:rsidP="003C397A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lastRenderedPageBreak/>
        <w:t>Dispositions constitutionnelles de référence</w:t>
      </w:r>
      <w:r>
        <w:rPr>
          <w:sz w:val="24"/>
        </w:rPr>
        <w:t xml:space="preserve"> : art. 7 alinéa 11 et art. 89 alinéas 4 et 5 de la Constitution </w:t>
      </w:r>
    </w:p>
    <w:p w14:paraId="23518CC0" w14:textId="77777777" w:rsidR="003C397A" w:rsidRDefault="003C397A" w:rsidP="003C397A">
      <w:pPr>
        <w:spacing w:line="340" w:lineRule="exact"/>
        <w:rPr>
          <w:iCs/>
          <w:sz w:val="24"/>
        </w:rPr>
      </w:pPr>
      <w:r w:rsidRPr="00F03DCE">
        <w:rPr>
          <w:sz w:val="24"/>
          <w:u w:val="single"/>
        </w:rPr>
        <w:t>Jurisprudence</w:t>
      </w:r>
      <w:r>
        <w:rPr>
          <w:sz w:val="24"/>
        </w:rPr>
        <w:t xml:space="preserve"> : </w:t>
      </w:r>
      <w:r w:rsidRPr="00704CEE">
        <w:rPr>
          <w:sz w:val="24"/>
        </w:rPr>
        <w:t xml:space="preserve">C.C., n° 92-312 DC, 2 septembre 1992, </w:t>
      </w:r>
      <w:r w:rsidRPr="00704CEE">
        <w:rPr>
          <w:i/>
          <w:sz w:val="24"/>
        </w:rPr>
        <w:t>Maastricht II </w:t>
      </w:r>
      <w:r w:rsidRPr="00704CEE">
        <w:rPr>
          <w:sz w:val="24"/>
        </w:rPr>
        <w:t xml:space="preserve">; n° 99-410 DC, 15 mars 1999, </w:t>
      </w:r>
      <w:r w:rsidRPr="00704CEE">
        <w:rPr>
          <w:i/>
          <w:sz w:val="24"/>
        </w:rPr>
        <w:t>Statut constitutionnel de la Nouvelle-Calédonie II </w:t>
      </w:r>
      <w:r w:rsidRPr="00704CEE">
        <w:rPr>
          <w:sz w:val="24"/>
        </w:rPr>
        <w:t xml:space="preserve">; n° 2000-429 DC, 30 mai 2000, </w:t>
      </w:r>
      <w:r w:rsidRPr="00704CEE">
        <w:rPr>
          <w:i/>
          <w:sz w:val="24"/>
        </w:rPr>
        <w:t>Quotas par sexe III </w:t>
      </w:r>
      <w:r w:rsidRPr="00704CEE">
        <w:rPr>
          <w:sz w:val="24"/>
        </w:rPr>
        <w:t xml:space="preserve">; </w:t>
      </w:r>
      <w:r>
        <w:rPr>
          <w:sz w:val="24"/>
        </w:rPr>
        <w:t xml:space="preserve">n° 2003-469 DC, 26 mars 2003, </w:t>
      </w:r>
      <w:r w:rsidRPr="00DF5A4A">
        <w:rPr>
          <w:i/>
          <w:sz w:val="24"/>
        </w:rPr>
        <w:t>Loi constitutionnelle relative à l’organisation décentralisée de la République</w:t>
      </w:r>
      <w:r>
        <w:rPr>
          <w:sz w:val="24"/>
        </w:rPr>
        <w:t xml:space="preserve"> ; </w:t>
      </w:r>
      <w:r w:rsidRPr="00704CEE">
        <w:rPr>
          <w:sz w:val="24"/>
        </w:rPr>
        <w:t xml:space="preserve">n° 2003-478 DC, 30 juillet 2003, </w:t>
      </w:r>
      <w:r w:rsidRPr="00704CEE">
        <w:rPr>
          <w:i/>
          <w:iCs/>
          <w:sz w:val="24"/>
        </w:rPr>
        <w:t>Loi organique relative à l'expérimentation par les collectivités territoriales </w:t>
      </w:r>
      <w:r w:rsidRPr="00704CEE">
        <w:rPr>
          <w:iCs/>
          <w:sz w:val="24"/>
        </w:rPr>
        <w:t>;</w:t>
      </w:r>
      <w:r w:rsidRPr="00704CEE">
        <w:rPr>
          <w:sz w:val="24"/>
        </w:rPr>
        <w:t xml:space="preserve"> n ° 2004-490 DC, 12 février 2004, </w:t>
      </w:r>
      <w:r w:rsidRPr="00704CEE">
        <w:rPr>
          <w:i/>
          <w:iCs/>
          <w:sz w:val="24"/>
        </w:rPr>
        <w:t>Loi organique portant statut d'autonomie de la Polynésie française</w:t>
      </w:r>
      <w:r>
        <w:rPr>
          <w:i/>
          <w:iCs/>
          <w:sz w:val="24"/>
        </w:rPr>
        <w:t> </w:t>
      </w:r>
      <w:r>
        <w:rPr>
          <w:iCs/>
          <w:sz w:val="24"/>
        </w:rPr>
        <w:t xml:space="preserve">; n° 2004-503 DC, 12 août 2004, </w:t>
      </w:r>
      <w:r>
        <w:rPr>
          <w:i/>
          <w:iCs/>
          <w:sz w:val="24"/>
        </w:rPr>
        <w:t>Loi relative aux libertés et responsabilités locales</w:t>
      </w:r>
    </w:p>
    <w:p w14:paraId="0A915DEC" w14:textId="77777777" w:rsidR="003C397A" w:rsidRPr="000D6E95" w:rsidRDefault="003C397A" w:rsidP="003C397A">
      <w:pPr>
        <w:spacing w:line="340" w:lineRule="exact"/>
        <w:rPr>
          <w:sz w:val="24"/>
        </w:rPr>
      </w:pPr>
      <w:r>
        <w:rPr>
          <w:iCs/>
          <w:sz w:val="24"/>
        </w:rPr>
        <w:t>C.C.I., n° 1146, 29 décembre 1988</w:t>
      </w:r>
    </w:p>
    <w:p w14:paraId="05CCD4BF" w14:textId="77777777" w:rsidR="003C397A" w:rsidRPr="008A5543" w:rsidRDefault="003C397A" w:rsidP="003C397A">
      <w:pPr>
        <w:spacing w:line="340" w:lineRule="exact"/>
        <w:rPr>
          <w:i/>
          <w:sz w:val="24"/>
          <w:u w:val="single"/>
        </w:rPr>
      </w:pPr>
      <w:r w:rsidRPr="008A5543">
        <w:rPr>
          <w:sz w:val="24"/>
          <w:u w:val="single"/>
        </w:rPr>
        <w:t xml:space="preserve">Référence dans le </w:t>
      </w:r>
      <w:r w:rsidRPr="008A5543">
        <w:rPr>
          <w:i/>
          <w:sz w:val="24"/>
          <w:u w:val="single"/>
        </w:rPr>
        <w:t>Code constitutionnel </w:t>
      </w:r>
      <w:r w:rsidRPr="008A5543">
        <w:rPr>
          <w:sz w:val="24"/>
          <w:u w:val="single"/>
        </w:rPr>
        <w:t>:</w:t>
      </w:r>
      <w:r>
        <w:rPr>
          <w:sz w:val="24"/>
          <w:u w:val="single"/>
        </w:rPr>
        <w:t xml:space="preserve"> </w:t>
      </w:r>
      <w:r w:rsidRPr="004C4E22">
        <w:rPr>
          <w:sz w:val="24"/>
        </w:rPr>
        <w:t xml:space="preserve">sous </w:t>
      </w:r>
      <w:r>
        <w:rPr>
          <w:sz w:val="24"/>
        </w:rPr>
        <w:t xml:space="preserve">art. 61 C., § 27 et s. et </w:t>
      </w:r>
      <w:r w:rsidRPr="004C4E22">
        <w:rPr>
          <w:sz w:val="24"/>
        </w:rPr>
        <w:t>art. 89 C., § 6 et s.</w:t>
      </w:r>
    </w:p>
    <w:p w14:paraId="1E0A44BB" w14:textId="77777777" w:rsidR="003C397A" w:rsidRDefault="003C397A" w:rsidP="003C397A">
      <w:pPr>
        <w:spacing w:line="340" w:lineRule="exact"/>
        <w:rPr>
          <w:sz w:val="24"/>
        </w:rPr>
      </w:pPr>
      <w:r w:rsidRPr="00AC1BF7">
        <w:rPr>
          <w:sz w:val="24"/>
          <w:u w:val="single"/>
        </w:rPr>
        <w:t>Références bibliographiques indicatives</w:t>
      </w:r>
      <w:r>
        <w:rPr>
          <w:sz w:val="24"/>
        </w:rPr>
        <w:t> :</w:t>
      </w:r>
    </w:p>
    <w:p w14:paraId="0AFB8D42" w14:textId="77777777" w:rsidR="003C397A" w:rsidRDefault="003C397A" w:rsidP="003C397A">
      <w:pPr>
        <w:spacing w:line="340" w:lineRule="exact"/>
        <w:rPr>
          <w:sz w:val="24"/>
        </w:rPr>
      </w:pPr>
    </w:p>
    <w:p w14:paraId="6F66CFDA" w14:textId="77777777" w:rsidR="003C397A" w:rsidRPr="00F70600" w:rsidRDefault="003C397A" w:rsidP="003C397A">
      <w:pPr>
        <w:spacing w:line="340" w:lineRule="exact"/>
        <w:rPr>
          <w:sz w:val="24"/>
        </w:rPr>
      </w:pPr>
      <w:proofErr w:type="spellStart"/>
      <w:r>
        <w:rPr>
          <w:smallCaps/>
          <w:sz w:val="24"/>
        </w:rPr>
        <w:t>Camby</w:t>
      </w:r>
      <w:proofErr w:type="spellEnd"/>
      <w:r>
        <w:rPr>
          <w:smallCaps/>
          <w:sz w:val="24"/>
        </w:rPr>
        <w:t xml:space="preserve"> (J.-P.), « </w:t>
      </w:r>
      <w:r>
        <w:rPr>
          <w:sz w:val="24"/>
        </w:rPr>
        <w:t>Supra-</w:t>
      </w:r>
      <w:r w:rsidRPr="00F70600">
        <w:rPr>
          <w:sz w:val="24"/>
        </w:rPr>
        <w:t>constitutionnalité</w:t>
      </w:r>
      <w:r>
        <w:rPr>
          <w:sz w:val="24"/>
        </w:rPr>
        <w:t xml:space="preserve"> : l</w:t>
      </w:r>
      <w:r w:rsidRPr="00F70600">
        <w:rPr>
          <w:sz w:val="24"/>
        </w:rPr>
        <w:t>a fin d'un mythe »</w:t>
      </w:r>
      <w:r>
        <w:rPr>
          <w:sz w:val="24"/>
        </w:rPr>
        <w:t xml:space="preserve">, </w:t>
      </w:r>
      <w:r>
        <w:rPr>
          <w:i/>
          <w:sz w:val="24"/>
        </w:rPr>
        <w:t>RDP</w:t>
      </w:r>
      <w:r>
        <w:rPr>
          <w:sz w:val="24"/>
        </w:rPr>
        <w:t>, 2003, n° 3, pp. 671-688.</w:t>
      </w:r>
    </w:p>
    <w:p w14:paraId="5640C4D9" w14:textId="77777777" w:rsidR="003C397A" w:rsidRPr="0011353D" w:rsidRDefault="003C397A" w:rsidP="003C397A">
      <w:pPr>
        <w:spacing w:line="340" w:lineRule="exact"/>
        <w:rPr>
          <w:sz w:val="24"/>
        </w:rPr>
      </w:pPr>
      <w:proofErr w:type="spellStart"/>
      <w:r w:rsidRPr="0011353D">
        <w:rPr>
          <w:smallCaps/>
          <w:sz w:val="24"/>
        </w:rPr>
        <w:t>Derosier</w:t>
      </w:r>
      <w:proofErr w:type="spellEnd"/>
      <w:r w:rsidRPr="0011353D">
        <w:rPr>
          <w:smallCaps/>
          <w:sz w:val="24"/>
        </w:rPr>
        <w:t xml:space="preserve"> </w:t>
      </w:r>
      <w:r>
        <w:rPr>
          <w:sz w:val="24"/>
        </w:rPr>
        <w:t>(J.-P.), « </w:t>
      </w:r>
      <w:r w:rsidRPr="0011353D">
        <w:rPr>
          <w:sz w:val="24"/>
        </w:rPr>
        <w:t xml:space="preserve">Le noyau constitutionnel identitaire, frein à l'intégration européenne. Contribution à une étude </w:t>
      </w:r>
      <w:proofErr w:type="spellStart"/>
      <w:r w:rsidRPr="0011353D">
        <w:rPr>
          <w:sz w:val="24"/>
        </w:rPr>
        <w:t>normativiste</w:t>
      </w:r>
      <w:proofErr w:type="spellEnd"/>
      <w:r w:rsidRPr="0011353D">
        <w:rPr>
          <w:sz w:val="24"/>
        </w:rPr>
        <w:t xml:space="preserve"> et comparée des rapports entre le noyau constitutionnel identitaire et le droit de l'Union européenne</w:t>
      </w:r>
      <w:r>
        <w:rPr>
          <w:sz w:val="24"/>
        </w:rPr>
        <w:t xml:space="preserve"> », </w:t>
      </w:r>
      <w:proofErr w:type="spellStart"/>
      <w:r>
        <w:rPr>
          <w:i/>
          <w:sz w:val="24"/>
        </w:rPr>
        <w:t>Politeia</w:t>
      </w:r>
      <w:proofErr w:type="spellEnd"/>
      <w:r>
        <w:rPr>
          <w:sz w:val="24"/>
        </w:rPr>
        <w:t>, 2012, n° 22, pp.</w:t>
      </w:r>
      <w:r w:rsidRPr="0011353D">
        <w:rPr>
          <w:sz w:val="24"/>
        </w:rPr>
        <w:t xml:space="preserve"> 311-343</w:t>
      </w:r>
      <w:r>
        <w:rPr>
          <w:sz w:val="24"/>
        </w:rPr>
        <w:t>.</w:t>
      </w:r>
    </w:p>
    <w:p w14:paraId="0DCC8CFB" w14:textId="77777777" w:rsidR="003C397A" w:rsidRPr="004264D2" w:rsidRDefault="003C397A" w:rsidP="003C397A">
      <w:pPr>
        <w:spacing w:line="340" w:lineRule="exact"/>
        <w:rPr>
          <w:sz w:val="24"/>
        </w:rPr>
      </w:pPr>
      <w:r>
        <w:rPr>
          <w:smallCaps/>
          <w:sz w:val="24"/>
        </w:rPr>
        <w:t>Dubout (E.), « </w:t>
      </w:r>
      <w:r w:rsidRPr="004264D2">
        <w:rPr>
          <w:sz w:val="24"/>
        </w:rPr>
        <w:t>Les règles ou principes inhérents à l'identité constitutionnelle de la France : une supra-constitutionnalité ? »</w:t>
      </w:r>
      <w:r>
        <w:rPr>
          <w:sz w:val="24"/>
        </w:rPr>
        <w:t xml:space="preserve">, </w:t>
      </w:r>
      <w:r>
        <w:rPr>
          <w:i/>
          <w:sz w:val="24"/>
        </w:rPr>
        <w:t>RFDC</w:t>
      </w:r>
      <w:r>
        <w:rPr>
          <w:sz w:val="24"/>
        </w:rPr>
        <w:t>, 2010, n° 83, pp. 451-482.</w:t>
      </w:r>
    </w:p>
    <w:p w14:paraId="7B492BFB" w14:textId="77777777" w:rsidR="003C397A" w:rsidRPr="004264D2" w:rsidRDefault="003C397A" w:rsidP="003C397A">
      <w:pPr>
        <w:spacing w:line="340" w:lineRule="exact"/>
        <w:rPr>
          <w:sz w:val="24"/>
        </w:rPr>
      </w:pPr>
      <w:proofErr w:type="spellStart"/>
      <w:r>
        <w:rPr>
          <w:smallCaps/>
          <w:sz w:val="24"/>
        </w:rPr>
        <w:t>Fromont</w:t>
      </w:r>
      <w:proofErr w:type="spellEnd"/>
      <w:r>
        <w:rPr>
          <w:smallCaps/>
          <w:sz w:val="24"/>
        </w:rPr>
        <w:t xml:space="preserve"> (M.), « </w:t>
      </w:r>
      <w:r w:rsidRPr="004264D2">
        <w:rPr>
          <w:sz w:val="24"/>
        </w:rPr>
        <w:t>La révision de la Constitution et les règles constitutionnelles intangibles en droit allemand »</w:t>
      </w:r>
      <w:r>
        <w:rPr>
          <w:sz w:val="24"/>
        </w:rPr>
        <w:t xml:space="preserve">, </w:t>
      </w:r>
      <w:r>
        <w:rPr>
          <w:i/>
          <w:sz w:val="24"/>
        </w:rPr>
        <w:t>RDP</w:t>
      </w:r>
      <w:r>
        <w:rPr>
          <w:sz w:val="24"/>
        </w:rPr>
        <w:t>, 2007, n° 1, pp. 89-110.</w:t>
      </w:r>
    </w:p>
    <w:p w14:paraId="4129423B" w14:textId="77777777" w:rsidR="003C397A" w:rsidRPr="004264D2" w:rsidRDefault="003C397A" w:rsidP="003C397A">
      <w:pPr>
        <w:spacing w:line="340" w:lineRule="exact"/>
        <w:rPr>
          <w:sz w:val="24"/>
        </w:rPr>
      </w:pPr>
      <w:r>
        <w:rPr>
          <w:smallCaps/>
          <w:sz w:val="24"/>
        </w:rPr>
        <w:t>Lepsius (O.), « L</w:t>
      </w:r>
      <w:r>
        <w:rPr>
          <w:sz w:val="24"/>
        </w:rPr>
        <w:t xml:space="preserve">e contrôle par la Cour constitutionnelle de lois de révision constitutionnelle dans la République fédérale d’Allemagne », </w:t>
      </w:r>
      <w:r>
        <w:rPr>
          <w:i/>
          <w:sz w:val="24"/>
        </w:rPr>
        <w:t>Les nouveaux cahiers du Conseil constitutionnel</w:t>
      </w:r>
      <w:r>
        <w:rPr>
          <w:sz w:val="24"/>
        </w:rPr>
        <w:t>, 2009, n° 27, pp. 13-21.</w:t>
      </w:r>
    </w:p>
    <w:p w14:paraId="66DEA99F" w14:textId="77777777" w:rsidR="003C397A" w:rsidRDefault="003C397A" w:rsidP="003C397A">
      <w:pPr>
        <w:spacing w:line="340" w:lineRule="exact"/>
        <w:rPr>
          <w:sz w:val="24"/>
        </w:rPr>
      </w:pPr>
      <w:r w:rsidRPr="0011353D">
        <w:rPr>
          <w:smallCaps/>
          <w:sz w:val="24"/>
        </w:rPr>
        <w:t>Mathieu</w:t>
      </w:r>
      <w:r>
        <w:rPr>
          <w:sz w:val="24"/>
        </w:rPr>
        <w:t xml:space="preserve"> (B.), </w:t>
      </w:r>
      <w:r w:rsidRPr="00722968">
        <w:rPr>
          <w:sz w:val="24"/>
        </w:rPr>
        <w:t xml:space="preserve">« La supra-constitutionnalité existe-t-elle ? Réflexions sur un mythe et quelques réalités », </w:t>
      </w:r>
      <w:r>
        <w:rPr>
          <w:i/>
          <w:sz w:val="24"/>
        </w:rPr>
        <w:t>LP</w:t>
      </w:r>
      <w:r w:rsidRPr="00722968">
        <w:rPr>
          <w:i/>
          <w:sz w:val="24"/>
        </w:rPr>
        <w:t>A</w:t>
      </w:r>
      <w:r w:rsidRPr="00722968">
        <w:rPr>
          <w:sz w:val="24"/>
        </w:rPr>
        <w:t xml:space="preserve">, 8 mars 1995, n° 29, </w:t>
      </w:r>
      <w:r>
        <w:rPr>
          <w:sz w:val="24"/>
        </w:rPr>
        <w:t>p</w:t>
      </w:r>
      <w:r w:rsidRPr="00722968">
        <w:rPr>
          <w:sz w:val="24"/>
        </w:rPr>
        <w:t>p. 12</w:t>
      </w:r>
      <w:r>
        <w:rPr>
          <w:sz w:val="24"/>
        </w:rPr>
        <w:t>-17.</w:t>
      </w:r>
    </w:p>
    <w:p w14:paraId="071E30F3" w14:textId="77777777" w:rsidR="003C397A" w:rsidRDefault="003C397A" w:rsidP="003C397A">
      <w:pPr>
        <w:spacing w:line="340" w:lineRule="exact"/>
        <w:rPr>
          <w:sz w:val="24"/>
        </w:rPr>
      </w:pPr>
      <w:proofErr w:type="spellStart"/>
      <w:r w:rsidRPr="0011353D">
        <w:rPr>
          <w:smallCaps/>
          <w:sz w:val="24"/>
        </w:rPr>
        <w:t>Magnon</w:t>
      </w:r>
      <w:proofErr w:type="spellEnd"/>
      <w:r>
        <w:rPr>
          <w:sz w:val="24"/>
        </w:rPr>
        <w:t xml:space="preserve"> (X.), </w:t>
      </w:r>
      <w:r w:rsidRPr="00722968">
        <w:rPr>
          <w:sz w:val="24"/>
        </w:rPr>
        <w:t xml:space="preserve">« Quelques maux encore à propos des lois de révision constitutionnelle : limites, contrôle, efficacité, caractère opératoire et existence », </w:t>
      </w:r>
      <w:r w:rsidRPr="009922E4">
        <w:rPr>
          <w:i/>
          <w:sz w:val="24"/>
        </w:rPr>
        <w:t>RFDC</w:t>
      </w:r>
      <w:r w:rsidRPr="00722968">
        <w:rPr>
          <w:sz w:val="24"/>
        </w:rPr>
        <w:t>, n° 59, 2004, pp. 595-617.</w:t>
      </w:r>
    </w:p>
    <w:p w14:paraId="2C489B3E" w14:textId="77777777" w:rsidR="003C397A" w:rsidRPr="006A3CB8" w:rsidRDefault="003C397A" w:rsidP="003C397A">
      <w:pPr>
        <w:spacing w:line="340" w:lineRule="exact"/>
        <w:rPr>
          <w:sz w:val="24"/>
        </w:rPr>
      </w:pPr>
      <w:proofErr w:type="spellStart"/>
      <w:r w:rsidRPr="0011353D">
        <w:rPr>
          <w:smallCaps/>
          <w:sz w:val="24"/>
        </w:rPr>
        <w:t>Troper</w:t>
      </w:r>
      <w:proofErr w:type="spellEnd"/>
      <w:r w:rsidRPr="0011353D">
        <w:rPr>
          <w:smallCaps/>
          <w:sz w:val="24"/>
        </w:rPr>
        <w:t xml:space="preserve"> </w:t>
      </w:r>
      <w:r>
        <w:rPr>
          <w:sz w:val="24"/>
        </w:rPr>
        <w:t xml:space="preserve">(M.), </w:t>
      </w:r>
      <w:r w:rsidRPr="0006590F">
        <w:rPr>
          <w:sz w:val="24"/>
        </w:rPr>
        <w:t xml:space="preserve">« La notion de principes </w:t>
      </w:r>
      <w:r w:rsidRPr="006A3CB8">
        <w:rPr>
          <w:sz w:val="24"/>
        </w:rPr>
        <w:t xml:space="preserve">supraconstitutionnels », in </w:t>
      </w:r>
      <w:r w:rsidRPr="006A3CB8">
        <w:rPr>
          <w:i/>
          <w:sz w:val="24"/>
        </w:rPr>
        <w:t xml:space="preserve">La </w:t>
      </w:r>
      <w:proofErr w:type="spellStart"/>
      <w:r w:rsidRPr="006A3CB8">
        <w:rPr>
          <w:i/>
          <w:sz w:val="24"/>
        </w:rPr>
        <w:t>supraconstitutionnalité</w:t>
      </w:r>
      <w:proofErr w:type="spellEnd"/>
      <w:r w:rsidRPr="006A3CB8">
        <w:rPr>
          <w:sz w:val="24"/>
        </w:rPr>
        <w:t xml:space="preserve">, </w:t>
      </w:r>
      <w:r w:rsidRPr="006A3CB8">
        <w:rPr>
          <w:i/>
          <w:sz w:val="24"/>
        </w:rPr>
        <w:t>Journée de la Société de législation comparée</w:t>
      </w:r>
      <w:r w:rsidRPr="006A3CB8">
        <w:rPr>
          <w:sz w:val="24"/>
        </w:rPr>
        <w:t>, 15</w:t>
      </w:r>
      <w:r w:rsidRPr="006A3CB8">
        <w:rPr>
          <w:sz w:val="24"/>
          <w:vertAlign w:val="superscript"/>
        </w:rPr>
        <w:t>ème</w:t>
      </w:r>
      <w:r w:rsidRPr="006A3CB8">
        <w:rPr>
          <w:sz w:val="24"/>
        </w:rPr>
        <w:t xml:space="preserve"> Journées juridiques franco-italiennes, Rennes, 7-10 octobre 1993, </w:t>
      </w:r>
      <w:r w:rsidRPr="006A3CB8">
        <w:rPr>
          <w:i/>
          <w:sz w:val="24"/>
        </w:rPr>
        <w:t>RIDC</w:t>
      </w:r>
      <w:r w:rsidRPr="006A3CB8">
        <w:rPr>
          <w:sz w:val="24"/>
        </w:rPr>
        <w:t xml:space="preserve">, </w:t>
      </w:r>
      <w:r>
        <w:rPr>
          <w:sz w:val="24"/>
        </w:rPr>
        <w:t xml:space="preserve">numéro spécial, </w:t>
      </w:r>
      <w:r w:rsidRPr="006A3CB8">
        <w:rPr>
          <w:sz w:val="24"/>
        </w:rPr>
        <w:t>vol</w:t>
      </w:r>
      <w:r>
        <w:rPr>
          <w:sz w:val="24"/>
        </w:rPr>
        <w:t>. 15, 1993, pp. 337-355.</w:t>
      </w:r>
    </w:p>
    <w:p w14:paraId="78785F81" w14:textId="77777777" w:rsidR="003C397A" w:rsidRPr="00722968" w:rsidRDefault="003C397A" w:rsidP="003C397A">
      <w:pPr>
        <w:spacing w:line="340" w:lineRule="exact"/>
        <w:rPr>
          <w:sz w:val="24"/>
        </w:rPr>
      </w:pPr>
    </w:p>
    <w:p w14:paraId="3CF4CABB" w14:textId="77777777" w:rsidR="003C397A" w:rsidRPr="008A5543" w:rsidRDefault="003C397A" w:rsidP="003C397A">
      <w:pPr>
        <w:spacing w:line="340" w:lineRule="exact"/>
        <w:rPr>
          <w:sz w:val="24"/>
        </w:rPr>
      </w:pPr>
      <w:r w:rsidRPr="008A5543">
        <w:rPr>
          <w:i/>
          <w:sz w:val="24"/>
        </w:rPr>
        <w:t>Pro</w:t>
      </w:r>
      <w:r w:rsidRPr="008A5543">
        <w:rPr>
          <w:sz w:val="24"/>
        </w:rPr>
        <w:t> : le pouvoir de révision constitutionnelle, un pouvoir soumis au pouvoir constituant</w:t>
      </w:r>
    </w:p>
    <w:p w14:paraId="16122CF2" w14:textId="77777777" w:rsidR="003C397A" w:rsidRPr="008A5543" w:rsidRDefault="003C397A" w:rsidP="003C397A">
      <w:pPr>
        <w:spacing w:line="340" w:lineRule="exact"/>
        <w:rPr>
          <w:sz w:val="24"/>
        </w:rPr>
      </w:pPr>
      <w:r w:rsidRPr="008A5543">
        <w:rPr>
          <w:i/>
          <w:sz w:val="24"/>
        </w:rPr>
        <w:t>Contra </w:t>
      </w:r>
      <w:r w:rsidRPr="008A5543">
        <w:rPr>
          <w:sz w:val="24"/>
        </w:rPr>
        <w:t xml:space="preserve">: la liberté du pouvoir </w:t>
      </w:r>
      <w:r>
        <w:rPr>
          <w:sz w:val="24"/>
        </w:rPr>
        <w:t xml:space="preserve">de révision constitutionnelle </w:t>
      </w:r>
    </w:p>
    <w:p w14:paraId="5252FE8E" w14:textId="77777777" w:rsidR="005944CC" w:rsidRDefault="005944CC" w:rsidP="00984127">
      <w:pPr>
        <w:spacing w:line="240" w:lineRule="auto"/>
        <w:rPr>
          <w:sz w:val="24"/>
        </w:rPr>
      </w:pPr>
    </w:p>
    <w:p w14:paraId="54FC61BB" w14:textId="77777777" w:rsidR="007D0D10" w:rsidRPr="005944CC" w:rsidRDefault="005944CC" w:rsidP="00984127">
      <w:pPr>
        <w:spacing w:line="240" w:lineRule="auto"/>
        <w:rPr>
          <w:rFonts w:ascii="Arial" w:hAnsi="Arial" w:cs="Arial"/>
          <w:b/>
          <w:sz w:val="24"/>
        </w:rPr>
      </w:pPr>
      <w:r w:rsidRPr="005944CC">
        <w:rPr>
          <w:rFonts w:ascii="Arial" w:hAnsi="Arial" w:cs="Arial"/>
          <w:b/>
          <w:sz w:val="24"/>
        </w:rPr>
        <w:t xml:space="preserve">§ II - </w:t>
      </w:r>
      <w:r w:rsidR="007D0D10" w:rsidRPr="005944CC">
        <w:rPr>
          <w:rFonts w:ascii="Arial" w:hAnsi="Arial" w:cs="Arial"/>
          <w:b/>
          <w:sz w:val="24"/>
        </w:rPr>
        <w:t>L’ouverture internationale et européenne de la Constitution</w:t>
      </w:r>
    </w:p>
    <w:p w14:paraId="713E1C18" w14:textId="77777777" w:rsidR="005944CC" w:rsidRDefault="005944CC" w:rsidP="00984127">
      <w:pPr>
        <w:spacing w:line="240" w:lineRule="auto"/>
        <w:rPr>
          <w:sz w:val="24"/>
        </w:rPr>
      </w:pPr>
    </w:p>
    <w:p w14:paraId="76C8CAC3" w14:textId="77777777" w:rsidR="008E1E53" w:rsidRPr="00E44658" w:rsidRDefault="009922E4" w:rsidP="008E1E53">
      <w:pPr>
        <w:spacing w:line="340" w:lineRule="exac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9</w:t>
      </w:r>
      <w:r w:rsidR="008E1E53" w:rsidRPr="00E44658">
        <w:rPr>
          <w:rFonts w:ascii="Arial" w:hAnsi="Arial" w:cs="Arial"/>
          <w:i/>
          <w:sz w:val="24"/>
        </w:rPr>
        <w:t>°) La hiérarchie des normes : la Constitution prime-t-elle sur les normes internationales et européennes ?</w:t>
      </w:r>
    </w:p>
    <w:p w14:paraId="10179966" w14:textId="77777777" w:rsidR="008E1E53" w:rsidRDefault="008E1E53" w:rsidP="008E1E53">
      <w:pPr>
        <w:spacing w:line="340" w:lineRule="exact"/>
        <w:rPr>
          <w:sz w:val="24"/>
          <w:u w:val="single"/>
        </w:rPr>
      </w:pPr>
    </w:p>
    <w:p w14:paraId="74648996" w14:textId="77777777" w:rsidR="008E1E53" w:rsidRDefault="008E1E53" w:rsidP="008E1E53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t>Dispositions constitutionnelles de référence</w:t>
      </w:r>
      <w:r>
        <w:rPr>
          <w:sz w:val="24"/>
        </w:rPr>
        <w:t xml:space="preserve"> : art. 54 et 55, titre XV De l’Union européenne de la Constitution. </w:t>
      </w:r>
    </w:p>
    <w:p w14:paraId="4FFF2DC9" w14:textId="77777777" w:rsidR="008E1E53" w:rsidRDefault="008E1E53" w:rsidP="008E1E53">
      <w:pPr>
        <w:spacing w:line="340" w:lineRule="exact"/>
        <w:rPr>
          <w:sz w:val="24"/>
        </w:rPr>
      </w:pPr>
      <w:r w:rsidRPr="00F619FA">
        <w:rPr>
          <w:sz w:val="24"/>
          <w:u w:val="single"/>
        </w:rPr>
        <w:lastRenderedPageBreak/>
        <w:t>Textes complémentaires</w:t>
      </w:r>
      <w:r>
        <w:rPr>
          <w:sz w:val="24"/>
        </w:rPr>
        <w:t> : Article 4 § 2 du Traité sur l’Union européenne ; articles 26 et 27 de la Convention de Vienne du 23 mai 1969.</w:t>
      </w:r>
    </w:p>
    <w:p w14:paraId="0B8C6040" w14:textId="77777777" w:rsidR="008E1E53" w:rsidRDefault="008E1E53" w:rsidP="008E1E53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t>Jurisprudence</w:t>
      </w:r>
      <w:r>
        <w:rPr>
          <w:sz w:val="24"/>
        </w:rPr>
        <w:t xml:space="preserve"> : C.C., </w:t>
      </w:r>
      <w:r w:rsidRPr="005F37D2">
        <w:rPr>
          <w:sz w:val="24"/>
        </w:rPr>
        <w:t xml:space="preserve">n° 2004-496 DC, 10 juin 2004, </w:t>
      </w:r>
      <w:r w:rsidRPr="005F37D2">
        <w:rPr>
          <w:i/>
          <w:sz w:val="24"/>
        </w:rPr>
        <w:t>Confiance dans l’économie numérique</w:t>
      </w:r>
      <w:r>
        <w:rPr>
          <w:sz w:val="24"/>
        </w:rPr>
        <w:t> ;</w:t>
      </w:r>
      <w:r w:rsidRPr="009F6125">
        <w:rPr>
          <w:sz w:val="24"/>
        </w:rPr>
        <w:t xml:space="preserve"> </w:t>
      </w:r>
      <w:r>
        <w:rPr>
          <w:sz w:val="24"/>
        </w:rPr>
        <w:t xml:space="preserve">n° 2004-505 DC, 19 novembre 2004, </w:t>
      </w:r>
      <w:r>
        <w:rPr>
          <w:i/>
          <w:sz w:val="24"/>
        </w:rPr>
        <w:t xml:space="preserve">Traité établissant une Constitution pour </w:t>
      </w:r>
      <w:r w:rsidRPr="009F6125">
        <w:rPr>
          <w:sz w:val="24"/>
        </w:rPr>
        <w:t>l</w:t>
      </w:r>
      <w:r w:rsidRPr="009F6125">
        <w:rPr>
          <w:i/>
          <w:sz w:val="24"/>
        </w:rPr>
        <w:t>’Europe</w:t>
      </w:r>
      <w:r>
        <w:rPr>
          <w:sz w:val="24"/>
        </w:rPr>
        <w:t xml:space="preserve"> ; </w:t>
      </w:r>
      <w:r w:rsidRPr="009F6125">
        <w:rPr>
          <w:sz w:val="24"/>
        </w:rPr>
        <w:t>n</w:t>
      </w:r>
      <w:r>
        <w:rPr>
          <w:sz w:val="24"/>
        </w:rPr>
        <w:t xml:space="preserve">° 2006-540 DC, 27 juillet 2006, </w:t>
      </w:r>
      <w:r>
        <w:rPr>
          <w:i/>
          <w:sz w:val="24"/>
        </w:rPr>
        <w:t>Droits d’auteur </w:t>
      </w:r>
      <w:r>
        <w:rPr>
          <w:sz w:val="24"/>
        </w:rPr>
        <w:t>;</w:t>
      </w:r>
    </w:p>
    <w:p w14:paraId="23551DC4" w14:textId="77777777" w:rsidR="008E1E53" w:rsidRDefault="008E1E53" w:rsidP="008E1E53">
      <w:pPr>
        <w:spacing w:line="340" w:lineRule="exact"/>
        <w:rPr>
          <w:i/>
          <w:iCs/>
          <w:sz w:val="24"/>
        </w:rPr>
      </w:pPr>
      <w:r w:rsidRPr="004E7A72">
        <w:rPr>
          <w:rStyle w:val="rdec"/>
          <w:color w:val="auto"/>
          <w:sz w:val="24"/>
        </w:rPr>
        <w:t xml:space="preserve">C.E., </w:t>
      </w:r>
      <w:proofErr w:type="spellStart"/>
      <w:r>
        <w:rPr>
          <w:rStyle w:val="rdec"/>
          <w:color w:val="auto"/>
          <w:sz w:val="24"/>
        </w:rPr>
        <w:t>Ass</w:t>
      </w:r>
      <w:proofErr w:type="spellEnd"/>
      <w:r>
        <w:rPr>
          <w:rStyle w:val="rdec"/>
          <w:color w:val="auto"/>
          <w:sz w:val="24"/>
        </w:rPr>
        <w:t xml:space="preserve">., 3 juillet 1996, </w:t>
      </w:r>
      <w:r>
        <w:rPr>
          <w:rStyle w:val="rdec"/>
          <w:i/>
          <w:color w:val="auto"/>
          <w:sz w:val="24"/>
        </w:rPr>
        <w:t xml:space="preserve">Moussa </w:t>
      </w:r>
      <w:r w:rsidRPr="007E0EDC">
        <w:rPr>
          <w:rStyle w:val="rdec"/>
          <w:i/>
          <w:color w:val="auto"/>
          <w:sz w:val="24"/>
        </w:rPr>
        <w:t>Koné</w:t>
      </w:r>
      <w:r>
        <w:rPr>
          <w:rStyle w:val="rdec"/>
          <w:color w:val="auto"/>
          <w:sz w:val="24"/>
        </w:rPr>
        <w:t xml:space="preserve"> ; </w:t>
      </w:r>
      <w:proofErr w:type="spellStart"/>
      <w:r w:rsidRPr="007E0EDC">
        <w:rPr>
          <w:rStyle w:val="rdec"/>
          <w:color w:val="auto"/>
          <w:sz w:val="24"/>
        </w:rPr>
        <w:t>Ass</w:t>
      </w:r>
      <w:proofErr w:type="spellEnd"/>
      <w:r w:rsidRPr="004E7A72">
        <w:rPr>
          <w:rStyle w:val="rdec"/>
          <w:color w:val="auto"/>
          <w:sz w:val="24"/>
        </w:rPr>
        <w:t>., 30 oct. 1998</w:t>
      </w:r>
      <w:r w:rsidRPr="004E7A72">
        <w:rPr>
          <w:sz w:val="24"/>
        </w:rPr>
        <w:t xml:space="preserve">, </w:t>
      </w:r>
      <w:proofErr w:type="spellStart"/>
      <w:r w:rsidRPr="004E7A72">
        <w:rPr>
          <w:i/>
          <w:iCs/>
          <w:sz w:val="24"/>
        </w:rPr>
        <w:t>Sarran</w:t>
      </w:r>
      <w:proofErr w:type="spellEnd"/>
      <w:r>
        <w:rPr>
          <w:i/>
          <w:iCs/>
          <w:sz w:val="24"/>
        </w:rPr>
        <w:t> </w:t>
      </w:r>
      <w:r w:rsidRPr="004E7A72">
        <w:rPr>
          <w:iCs/>
          <w:sz w:val="24"/>
        </w:rPr>
        <w:t>;</w:t>
      </w:r>
      <w:r w:rsidRPr="004E7A72">
        <w:rPr>
          <w:i/>
          <w:iCs/>
          <w:sz w:val="24"/>
        </w:rPr>
        <w:t xml:space="preserve"> </w:t>
      </w:r>
      <w:r w:rsidRPr="004E7A72">
        <w:rPr>
          <w:sz w:val="24"/>
        </w:rPr>
        <w:t xml:space="preserve">3 déc. 2001, </w:t>
      </w:r>
      <w:r w:rsidRPr="004E7A72">
        <w:rPr>
          <w:i/>
          <w:iCs/>
          <w:sz w:val="24"/>
        </w:rPr>
        <w:t>Syndicat nationa</w:t>
      </w:r>
      <w:r>
        <w:rPr>
          <w:i/>
          <w:iCs/>
          <w:sz w:val="24"/>
        </w:rPr>
        <w:t>l de l'industrie pharmaceutique</w:t>
      </w:r>
    </w:p>
    <w:p w14:paraId="1363A99E" w14:textId="77777777" w:rsidR="008E1E53" w:rsidRPr="00674B0A" w:rsidRDefault="008E1E53" w:rsidP="008E1E53">
      <w:pPr>
        <w:spacing w:line="340" w:lineRule="exact"/>
        <w:rPr>
          <w:sz w:val="24"/>
        </w:rPr>
      </w:pPr>
      <w:r w:rsidRPr="00674B0A">
        <w:rPr>
          <w:sz w:val="24"/>
        </w:rPr>
        <w:t>C. </w:t>
      </w:r>
      <w:proofErr w:type="spellStart"/>
      <w:r w:rsidRPr="00674B0A">
        <w:rPr>
          <w:sz w:val="24"/>
        </w:rPr>
        <w:t>cass</w:t>
      </w:r>
      <w:proofErr w:type="spellEnd"/>
      <w:r w:rsidRPr="00674B0A">
        <w:rPr>
          <w:sz w:val="24"/>
        </w:rPr>
        <w:t xml:space="preserve">., </w:t>
      </w:r>
      <w:proofErr w:type="spellStart"/>
      <w:r w:rsidRPr="00674B0A">
        <w:rPr>
          <w:sz w:val="24"/>
        </w:rPr>
        <w:t>ass</w:t>
      </w:r>
      <w:proofErr w:type="spellEnd"/>
      <w:r w:rsidRPr="00674B0A">
        <w:rPr>
          <w:sz w:val="24"/>
        </w:rPr>
        <w:t xml:space="preserve">. </w:t>
      </w:r>
      <w:proofErr w:type="spellStart"/>
      <w:proofErr w:type="gramStart"/>
      <w:r w:rsidRPr="00674B0A">
        <w:rPr>
          <w:sz w:val="24"/>
        </w:rPr>
        <w:t>plén</w:t>
      </w:r>
      <w:proofErr w:type="spellEnd"/>
      <w:proofErr w:type="gramEnd"/>
      <w:r w:rsidRPr="00674B0A">
        <w:rPr>
          <w:sz w:val="24"/>
        </w:rPr>
        <w:t xml:space="preserve">., 2 juin 2000, </w:t>
      </w:r>
      <w:r w:rsidRPr="00674B0A">
        <w:rPr>
          <w:i/>
          <w:iCs/>
          <w:sz w:val="24"/>
        </w:rPr>
        <w:t xml:space="preserve">Pauline </w:t>
      </w:r>
      <w:proofErr w:type="spellStart"/>
      <w:r w:rsidRPr="00674B0A">
        <w:rPr>
          <w:i/>
          <w:iCs/>
          <w:sz w:val="24"/>
        </w:rPr>
        <w:t>Fraisse</w:t>
      </w:r>
      <w:proofErr w:type="spellEnd"/>
    </w:p>
    <w:p w14:paraId="716EDBD3" w14:textId="77777777" w:rsidR="008E1E53" w:rsidRPr="00470A4A" w:rsidRDefault="008E1E53" w:rsidP="008E1E53">
      <w:pPr>
        <w:spacing w:line="340" w:lineRule="exact"/>
        <w:rPr>
          <w:i/>
          <w:iCs/>
          <w:sz w:val="24"/>
        </w:rPr>
      </w:pPr>
      <w:r w:rsidRPr="00470A4A">
        <w:rPr>
          <w:sz w:val="24"/>
        </w:rPr>
        <w:t>C</w:t>
      </w:r>
      <w:r>
        <w:rPr>
          <w:sz w:val="24"/>
        </w:rPr>
        <w:t>.</w:t>
      </w:r>
      <w:r w:rsidRPr="00470A4A">
        <w:rPr>
          <w:sz w:val="24"/>
        </w:rPr>
        <w:t>P</w:t>
      </w:r>
      <w:r>
        <w:rPr>
          <w:sz w:val="24"/>
        </w:rPr>
        <w:t>.</w:t>
      </w:r>
      <w:r w:rsidRPr="00470A4A">
        <w:rPr>
          <w:sz w:val="24"/>
        </w:rPr>
        <w:t>J</w:t>
      </w:r>
      <w:r>
        <w:rPr>
          <w:sz w:val="24"/>
        </w:rPr>
        <w:t>.</w:t>
      </w:r>
      <w:r w:rsidRPr="00470A4A">
        <w:rPr>
          <w:sz w:val="24"/>
        </w:rPr>
        <w:t>I</w:t>
      </w:r>
      <w:r>
        <w:rPr>
          <w:sz w:val="24"/>
        </w:rPr>
        <w:t>.</w:t>
      </w:r>
      <w:r w:rsidRPr="00470A4A">
        <w:rPr>
          <w:sz w:val="24"/>
        </w:rPr>
        <w:t xml:space="preserve"> (Cour permanente de justice internationale), AC, 4 févr. 1932, série A/B, n</w:t>
      </w:r>
      <w:r w:rsidRPr="00470A4A">
        <w:rPr>
          <w:sz w:val="24"/>
          <w:vertAlign w:val="superscript"/>
        </w:rPr>
        <w:t>o</w:t>
      </w:r>
      <w:r w:rsidRPr="00470A4A">
        <w:rPr>
          <w:sz w:val="24"/>
        </w:rPr>
        <w:t xml:space="preserve"> 44, </w:t>
      </w:r>
      <w:r w:rsidRPr="00470A4A">
        <w:rPr>
          <w:i/>
          <w:iCs/>
          <w:sz w:val="24"/>
        </w:rPr>
        <w:t>Traitement des nationaux polonais dans le territoire de Dantzig</w:t>
      </w:r>
    </w:p>
    <w:p w14:paraId="44F42E28" w14:textId="77777777" w:rsidR="008E1E53" w:rsidRPr="005D0CE3" w:rsidRDefault="008E1E53" w:rsidP="008E1E53">
      <w:pPr>
        <w:spacing w:line="340" w:lineRule="exact"/>
        <w:rPr>
          <w:i/>
          <w:iCs/>
          <w:sz w:val="24"/>
        </w:rPr>
      </w:pPr>
      <w:r w:rsidRPr="00470A4A">
        <w:rPr>
          <w:sz w:val="24"/>
        </w:rPr>
        <w:t>C</w:t>
      </w:r>
      <w:r>
        <w:rPr>
          <w:sz w:val="24"/>
        </w:rPr>
        <w:t>.</w:t>
      </w:r>
      <w:r w:rsidRPr="00470A4A">
        <w:rPr>
          <w:sz w:val="24"/>
        </w:rPr>
        <w:t>J</w:t>
      </w:r>
      <w:r>
        <w:rPr>
          <w:sz w:val="24"/>
        </w:rPr>
        <w:t>.</w:t>
      </w:r>
      <w:r w:rsidRPr="00470A4A">
        <w:rPr>
          <w:sz w:val="24"/>
        </w:rPr>
        <w:t>C</w:t>
      </w:r>
      <w:r>
        <w:rPr>
          <w:sz w:val="24"/>
        </w:rPr>
        <w:t>.</w:t>
      </w:r>
      <w:r w:rsidRPr="00470A4A">
        <w:rPr>
          <w:sz w:val="24"/>
        </w:rPr>
        <w:t>E</w:t>
      </w:r>
      <w:r>
        <w:rPr>
          <w:sz w:val="24"/>
        </w:rPr>
        <w:t>.</w:t>
      </w:r>
      <w:r w:rsidRPr="00470A4A">
        <w:rPr>
          <w:sz w:val="24"/>
        </w:rPr>
        <w:t xml:space="preserve"> (Cour de justice des Communautés européennes), 15 juill. </w:t>
      </w:r>
      <w:r w:rsidRPr="005D0CE3">
        <w:rPr>
          <w:sz w:val="24"/>
        </w:rPr>
        <w:t xml:space="preserve">1964, </w:t>
      </w:r>
      <w:proofErr w:type="spellStart"/>
      <w:r w:rsidRPr="005D0CE3">
        <w:rPr>
          <w:sz w:val="24"/>
        </w:rPr>
        <w:t>aff.</w:t>
      </w:r>
      <w:proofErr w:type="spellEnd"/>
      <w:r w:rsidRPr="005D0CE3">
        <w:rPr>
          <w:sz w:val="24"/>
        </w:rPr>
        <w:t xml:space="preserve"> 6/64, </w:t>
      </w:r>
      <w:proofErr w:type="spellStart"/>
      <w:r w:rsidRPr="005D0CE3">
        <w:rPr>
          <w:i/>
          <w:iCs/>
          <w:sz w:val="24"/>
        </w:rPr>
        <w:t>Flaminio</w:t>
      </w:r>
      <w:proofErr w:type="spellEnd"/>
      <w:r w:rsidRPr="005D0CE3">
        <w:rPr>
          <w:i/>
          <w:iCs/>
          <w:sz w:val="24"/>
        </w:rPr>
        <w:t xml:space="preserve"> Costa</w:t>
      </w:r>
      <w:r w:rsidRPr="005D0CE3">
        <w:rPr>
          <w:sz w:val="24"/>
        </w:rPr>
        <w:t xml:space="preserve"> c/ </w:t>
      </w:r>
      <w:proofErr w:type="spellStart"/>
      <w:r w:rsidRPr="005D0CE3">
        <w:rPr>
          <w:i/>
          <w:iCs/>
          <w:sz w:val="24"/>
        </w:rPr>
        <w:t>Enel</w:t>
      </w:r>
      <w:proofErr w:type="spellEnd"/>
    </w:p>
    <w:p w14:paraId="669B7BC9" w14:textId="77777777" w:rsidR="008E1E53" w:rsidRPr="00470A4A" w:rsidRDefault="008E1E53" w:rsidP="008E1E53">
      <w:pPr>
        <w:spacing w:line="340" w:lineRule="exact"/>
        <w:rPr>
          <w:sz w:val="24"/>
        </w:rPr>
      </w:pPr>
      <w:r w:rsidRPr="00470A4A">
        <w:rPr>
          <w:sz w:val="24"/>
        </w:rPr>
        <w:t>C</w:t>
      </w:r>
      <w:r>
        <w:rPr>
          <w:sz w:val="24"/>
        </w:rPr>
        <w:t>.</w:t>
      </w:r>
      <w:r w:rsidRPr="00470A4A">
        <w:rPr>
          <w:sz w:val="24"/>
        </w:rPr>
        <w:t>E</w:t>
      </w:r>
      <w:r>
        <w:rPr>
          <w:sz w:val="24"/>
        </w:rPr>
        <w:t>.</w:t>
      </w:r>
      <w:r w:rsidRPr="00470A4A">
        <w:rPr>
          <w:sz w:val="24"/>
        </w:rPr>
        <w:t>D</w:t>
      </w:r>
      <w:r>
        <w:rPr>
          <w:sz w:val="24"/>
        </w:rPr>
        <w:t>.</w:t>
      </w:r>
      <w:r w:rsidRPr="00470A4A">
        <w:rPr>
          <w:sz w:val="24"/>
        </w:rPr>
        <w:t>H</w:t>
      </w:r>
      <w:r>
        <w:rPr>
          <w:sz w:val="24"/>
        </w:rPr>
        <w:t>. (Cour européenne des droits de l’homme)</w:t>
      </w:r>
      <w:r w:rsidRPr="00470A4A">
        <w:rPr>
          <w:sz w:val="24"/>
        </w:rPr>
        <w:t xml:space="preserve">, 23 juin 1993, </w:t>
      </w:r>
      <w:r w:rsidRPr="00470A4A">
        <w:rPr>
          <w:i/>
          <w:iCs/>
          <w:sz w:val="24"/>
        </w:rPr>
        <w:t>Ruiz-Mateos</w:t>
      </w:r>
      <w:r w:rsidRPr="00470A4A">
        <w:rPr>
          <w:sz w:val="24"/>
        </w:rPr>
        <w:t xml:space="preserve">, </w:t>
      </w:r>
      <w:proofErr w:type="spellStart"/>
      <w:r w:rsidRPr="00470A4A">
        <w:rPr>
          <w:sz w:val="24"/>
        </w:rPr>
        <w:t>req</w:t>
      </w:r>
      <w:proofErr w:type="spellEnd"/>
      <w:r w:rsidRPr="00470A4A">
        <w:rPr>
          <w:sz w:val="24"/>
        </w:rPr>
        <w:t xml:space="preserve">. </w:t>
      </w:r>
      <w:proofErr w:type="gramStart"/>
      <w:r w:rsidRPr="00470A4A">
        <w:rPr>
          <w:sz w:val="24"/>
        </w:rPr>
        <w:t>n</w:t>
      </w:r>
      <w:r w:rsidRPr="00470A4A">
        <w:rPr>
          <w:sz w:val="24"/>
          <w:vertAlign w:val="superscript"/>
        </w:rPr>
        <w:t>o</w:t>
      </w:r>
      <w:proofErr w:type="gramEnd"/>
      <w:r w:rsidRPr="00470A4A">
        <w:rPr>
          <w:sz w:val="24"/>
        </w:rPr>
        <w:t xml:space="preserve"> 12952/87 ; 30 janv. 1998, </w:t>
      </w:r>
      <w:r w:rsidRPr="00470A4A">
        <w:rPr>
          <w:i/>
          <w:iCs/>
          <w:sz w:val="24"/>
        </w:rPr>
        <w:t>Parti communiste unifié de Turquie</w:t>
      </w:r>
      <w:r w:rsidRPr="00470A4A">
        <w:rPr>
          <w:iCs/>
          <w:sz w:val="24"/>
        </w:rPr>
        <w:t>,</w:t>
      </w:r>
      <w:r w:rsidRPr="00470A4A">
        <w:rPr>
          <w:sz w:val="24"/>
        </w:rPr>
        <w:t xml:space="preserve"> </w:t>
      </w:r>
      <w:proofErr w:type="spellStart"/>
      <w:r w:rsidRPr="00470A4A">
        <w:rPr>
          <w:sz w:val="24"/>
        </w:rPr>
        <w:t>req</w:t>
      </w:r>
      <w:proofErr w:type="spellEnd"/>
      <w:r w:rsidRPr="00470A4A">
        <w:rPr>
          <w:sz w:val="24"/>
        </w:rPr>
        <w:t xml:space="preserve">. </w:t>
      </w:r>
      <w:proofErr w:type="gramStart"/>
      <w:r w:rsidRPr="00470A4A">
        <w:rPr>
          <w:sz w:val="24"/>
        </w:rPr>
        <w:t>n</w:t>
      </w:r>
      <w:r w:rsidRPr="00470A4A">
        <w:rPr>
          <w:sz w:val="24"/>
          <w:vertAlign w:val="superscript"/>
        </w:rPr>
        <w:t>o</w:t>
      </w:r>
      <w:proofErr w:type="gramEnd"/>
      <w:r w:rsidRPr="00470A4A">
        <w:rPr>
          <w:sz w:val="24"/>
        </w:rPr>
        <w:t> 19392/92.</w:t>
      </w:r>
    </w:p>
    <w:p w14:paraId="75E8C441" w14:textId="77777777" w:rsidR="008E1E53" w:rsidRPr="004A73AE" w:rsidRDefault="008E1E53" w:rsidP="008E1E53">
      <w:pPr>
        <w:spacing w:line="340" w:lineRule="exact"/>
        <w:rPr>
          <w:sz w:val="24"/>
        </w:rPr>
      </w:pPr>
      <w:r>
        <w:rPr>
          <w:sz w:val="24"/>
        </w:rPr>
        <w:t xml:space="preserve">Référence dans le </w:t>
      </w:r>
      <w:r>
        <w:rPr>
          <w:i/>
          <w:sz w:val="24"/>
        </w:rPr>
        <w:t>Code constitutionnel </w:t>
      </w:r>
      <w:r>
        <w:rPr>
          <w:sz w:val="24"/>
        </w:rPr>
        <w:t xml:space="preserve">: </w:t>
      </w:r>
      <w:proofErr w:type="spellStart"/>
      <w:r>
        <w:rPr>
          <w:sz w:val="24"/>
        </w:rPr>
        <w:t>sous titre</w:t>
      </w:r>
      <w:proofErr w:type="spellEnd"/>
      <w:r>
        <w:rPr>
          <w:sz w:val="24"/>
        </w:rPr>
        <w:t xml:space="preserve"> VI, Des traités et accords internationaux, § 1 et 2, ; sous art. 54 C., § 3 et s. ; sous art. 88-1 C., § 10 et s.</w:t>
      </w:r>
    </w:p>
    <w:p w14:paraId="7DBDE393" w14:textId="77777777" w:rsidR="008E1E53" w:rsidRDefault="008E1E53" w:rsidP="003C397A">
      <w:pPr>
        <w:spacing w:line="340" w:lineRule="exact"/>
        <w:rPr>
          <w:i/>
          <w:sz w:val="24"/>
        </w:rPr>
      </w:pPr>
    </w:p>
    <w:p w14:paraId="78D0893E" w14:textId="77777777" w:rsidR="003C397A" w:rsidRDefault="003C397A" w:rsidP="003C397A">
      <w:pPr>
        <w:spacing w:line="340" w:lineRule="exact"/>
        <w:rPr>
          <w:sz w:val="24"/>
        </w:rPr>
      </w:pPr>
      <w:r w:rsidRPr="00AC1BF7">
        <w:rPr>
          <w:sz w:val="24"/>
          <w:u w:val="single"/>
        </w:rPr>
        <w:t>Références bibliographiques indicatives</w:t>
      </w:r>
      <w:r>
        <w:rPr>
          <w:sz w:val="24"/>
        </w:rPr>
        <w:t> :</w:t>
      </w:r>
    </w:p>
    <w:p w14:paraId="732DFFB0" w14:textId="77777777" w:rsidR="003C397A" w:rsidRDefault="003C397A" w:rsidP="003C397A">
      <w:pPr>
        <w:pStyle w:val="Stylesansnom"/>
        <w:rPr>
          <w:smallCaps/>
          <w:lang w:val="fr-FR"/>
        </w:rPr>
      </w:pPr>
    </w:p>
    <w:p w14:paraId="46B6FFFE" w14:textId="77777777" w:rsidR="003C397A" w:rsidRPr="006C2B25" w:rsidRDefault="003C397A" w:rsidP="003C397A">
      <w:pPr>
        <w:pStyle w:val="Stylesansnom"/>
        <w:rPr>
          <w:szCs w:val="24"/>
          <w:lang w:val="fr-FR"/>
        </w:rPr>
      </w:pPr>
      <w:r w:rsidRPr="006C2B25">
        <w:rPr>
          <w:rStyle w:val="st"/>
          <w:smallCaps/>
          <w:szCs w:val="24"/>
          <w:lang w:val="fr-FR"/>
        </w:rPr>
        <w:t>Bonnet</w:t>
      </w:r>
      <w:r w:rsidRPr="006C2B25">
        <w:rPr>
          <w:rStyle w:val="st"/>
          <w:szCs w:val="24"/>
          <w:lang w:val="fr-FR"/>
        </w:rPr>
        <w:t xml:space="preserve"> (B.), </w:t>
      </w:r>
      <w:r w:rsidRPr="006C2B25">
        <w:rPr>
          <w:rStyle w:val="st"/>
          <w:i/>
          <w:szCs w:val="24"/>
          <w:lang w:val="fr-FR"/>
        </w:rPr>
        <w:t>Repenser les rapports entre ordres</w:t>
      </w:r>
      <w:r w:rsidRPr="006C2B25">
        <w:rPr>
          <w:rStyle w:val="st"/>
          <w:szCs w:val="24"/>
          <w:lang w:val="fr-FR"/>
        </w:rPr>
        <w:t xml:space="preserve"> </w:t>
      </w:r>
      <w:r w:rsidRPr="006C2B25">
        <w:rPr>
          <w:rStyle w:val="Accentuation"/>
          <w:szCs w:val="24"/>
          <w:lang w:val="fr-FR"/>
        </w:rPr>
        <w:t>juridiques</w:t>
      </w:r>
      <w:r w:rsidRPr="006C2B25">
        <w:rPr>
          <w:rStyle w:val="st"/>
          <w:szCs w:val="24"/>
          <w:lang w:val="fr-FR"/>
        </w:rPr>
        <w:t xml:space="preserve">, </w:t>
      </w:r>
      <w:proofErr w:type="spellStart"/>
      <w:r w:rsidRPr="006C2B25">
        <w:rPr>
          <w:rStyle w:val="st"/>
          <w:szCs w:val="24"/>
          <w:lang w:val="fr-FR"/>
        </w:rPr>
        <w:t>Lextenso-Editions</w:t>
      </w:r>
      <w:proofErr w:type="spellEnd"/>
      <w:r w:rsidRPr="006C2B25">
        <w:rPr>
          <w:rStyle w:val="st"/>
          <w:szCs w:val="24"/>
          <w:lang w:val="fr-FR"/>
        </w:rPr>
        <w:t xml:space="preserve">, Forum, </w:t>
      </w:r>
      <w:r>
        <w:rPr>
          <w:rStyle w:val="st"/>
          <w:szCs w:val="24"/>
          <w:lang w:val="fr-FR"/>
        </w:rPr>
        <w:t>193 p.</w:t>
      </w:r>
    </w:p>
    <w:p w14:paraId="75879341" w14:textId="77777777" w:rsidR="003C397A" w:rsidRPr="006C2B25" w:rsidRDefault="003C397A" w:rsidP="003C397A">
      <w:pPr>
        <w:pStyle w:val="Stylesansnom"/>
        <w:rPr>
          <w:smallCaps/>
          <w:szCs w:val="24"/>
          <w:lang w:val="fr-FR"/>
        </w:rPr>
      </w:pPr>
      <w:r w:rsidRPr="006C2B25">
        <w:rPr>
          <w:smallCaps/>
          <w:szCs w:val="24"/>
          <w:lang w:val="fr-FR"/>
        </w:rPr>
        <w:t xml:space="preserve">Ost (F.), Van de </w:t>
      </w:r>
      <w:proofErr w:type="spellStart"/>
      <w:r w:rsidRPr="006C2B25">
        <w:rPr>
          <w:smallCaps/>
          <w:szCs w:val="24"/>
          <w:lang w:val="fr-FR"/>
        </w:rPr>
        <w:t>Kerchove</w:t>
      </w:r>
      <w:proofErr w:type="spellEnd"/>
      <w:r w:rsidRPr="006C2B25">
        <w:rPr>
          <w:smallCaps/>
          <w:szCs w:val="24"/>
          <w:lang w:val="fr-FR"/>
        </w:rPr>
        <w:t xml:space="preserve"> (M.),</w:t>
      </w:r>
      <w:r w:rsidRPr="006C2B25">
        <w:rPr>
          <w:i/>
          <w:smallCaps/>
          <w:szCs w:val="24"/>
          <w:lang w:val="fr-FR"/>
        </w:rPr>
        <w:t xml:space="preserve"> </w:t>
      </w:r>
      <w:r w:rsidRPr="006C2B25">
        <w:rPr>
          <w:i/>
          <w:szCs w:val="24"/>
          <w:lang w:val="fr-FR"/>
        </w:rPr>
        <w:t>De la pyramide au réseau ? Pour une théorie dialectique du droit</w:t>
      </w:r>
      <w:r w:rsidRPr="006C2B25">
        <w:rPr>
          <w:smallCaps/>
          <w:szCs w:val="24"/>
          <w:lang w:val="fr-FR"/>
        </w:rPr>
        <w:t xml:space="preserve">, </w:t>
      </w:r>
      <w:r w:rsidRPr="006C2B25">
        <w:rPr>
          <w:lang w:val="fr-FR"/>
        </w:rPr>
        <w:t>Publications des Facultés universitaires Saint-Louis</w:t>
      </w:r>
      <w:r>
        <w:rPr>
          <w:lang w:val="fr-FR"/>
        </w:rPr>
        <w:t xml:space="preserve">, 2002, 596 p. </w:t>
      </w:r>
    </w:p>
    <w:p w14:paraId="6D29189A" w14:textId="77777777" w:rsidR="003C397A" w:rsidRPr="006C2B25" w:rsidRDefault="003C397A" w:rsidP="003C397A">
      <w:pPr>
        <w:pStyle w:val="Stylesansnom"/>
        <w:rPr>
          <w:szCs w:val="24"/>
          <w:lang w:val="fr-FR"/>
        </w:rPr>
      </w:pPr>
      <w:r w:rsidRPr="006C2B25">
        <w:rPr>
          <w:smallCaps/>
          <w:szCs w:val="24"/>
          <w:lang w:val="fr-FR"/>
        </w:rPr>
        <w:t>Kelsen</w:t>
      </w:r>
      <w:r w:rsidRPr="006C2B25">
        <w:rPr>
          <w:szCs w:val="24"/>
          <w:lang w:val="fr-FR"/>
        </w:rPr>
        <w:t xml:space="preserve"> (H.), </w:t>
      </w:r>
      <w:r w:rsidRPr="006C2B25">
        <w:rPr>
          <w:i/>
          <w:szCs w:val="24"/>
          <w:lang w:val="fr-FR"/>
        </w:rPr>
        <w:t>Théorie générale du droit et de l’</w:t>
      </w:r>
      <w:proofErr w:type="spellStart"/>
      <w:r w:rsidRPr="006C2B25">
        <w:rPr>
          <w:i/>
          <w:szCs w:val="24"/>
          <w:lang w:val="fr-FR"/>
        </w:rPr>
        <w:t>Etat</w:t>
      </w:r>
      <w:proofErr w:type="spellEnd"/>
      <w:r w:rsidRPr="006C2B25">
        <w:rPr>
          <w:szCs w:val="24"/>
          <w:lang w:val="fr-FR"/>
        </w:rPr>
        <w:t xml:space="preserve">, 1945, traduit par B. </w:t>
      </w:r>
      <w:r w:rsidRPr="006C2B25">
        <w:rPr>
          <w:smallCaps/>
          <w:szCs w:val="24"/>
          <w:lang w:val="fr-FR"/>
        </w:rPr>
        <w:t xml:space="preserve">Laroche </w:t>
      </w:r>
      <w:r w:rsidRPr="006C2B25">
        <w:rPr>
          <w:szCs w:val="24"/>
          <w:lang w:val="fr-FR"/>
        </w:rPr>
        <w:t xml:space="preserve">et V. </w:t>
      </w:r>
      <w:r w:rsidRPr="006C2B25">
        <w:rPr>
          <w:smallCaps/>
          <w:szCs w:val="24"/>
          <w:lang w:val="fr-FR"/>
        </w:rPr>
        <w:t>Faure</w:t>
      </w:r>
      <w:r w:rsidRPr="006C2B25">
        <w:rPr>
          <w:szCs w:val="24"/>
          <w:lang w:val="fr-FR"/>
        </w:rPr>
        <w:t xml:space="preserve">, </w:t>
      </w:r>
      <w:proofErr w:type="spellStart"/>
      <w:r w:rsidRPr="006C2B25">
        <w:rPr>
          <w:szCs w:val="24"/>
          <w:lang w:val="fr-FR"/>
        </w:rPr>
        <w:t>Bruylant</w:t>
      </w:r>
      <w:proofErr w:type="spellEnd"/>
      <w:r w:rsidRPr="006C2B25">
        <w:rPr>
          <w:szCs w:val="24"/>
          <w:lang w:val="fr-FR"/>
        </w:rPr>
        <w:t>- LGDJ, La pensée juridique, 1997, 518 p.</w:t>
      </w:r>
    </w:p>
    <w:p w14:paraId="5CA1ACAD" w14:textId="77777777" w:rsidR="003C397A" w:rsidRPr="006C2B25" w:rsidRDefault="003C397A" w:rsidP="003C397A">
      <w:pPr>
        <w:pStyle w:val="Stylesansnom"/>
        <w:rPr>
          <w:szCs w:val="24"/>
          <w:lang w:val="fr-FR"/>
        </w:rPr>
      </w:pPr>
      <w:r w:rsidRPr="006C2B25">
        <w:rPr>
          <w:smallCaps/>
          <w:szCs w:val="24"/>
          <w:lang w:val="fr-FR"/>
        </w:rPr>
        <w:t>Kelsen</w:t>
      </w:r>
      <w:r w:rsidRPr="006C2B25">
        <w:rPr>
          <w:szCs w:val="24"/>
          <w:lang w:val="fr-FR"/>
        </w:rPr>
        <w:t xml:space="preserve"> (H.), </w:t>
      </w:r>
      <w:r w:rsidRPr="006C2B25">
        <w:rPr>
          <w:i/>
          <w:szCs w:val="24"/>
          <w:lang w:val="fr-FR"/>
        </w:rPr>
        <w:t>Théorie pure du droit</w:t>
      </w:r>
      <w:r w:rsidRPr="006C2B25">
        <w:rPr>
          <w:szCs w:val="24"/>
          <w:lang w:val="fr-FR"/>
        </w:rPr>
        <w:t>, Traduction française de la deuxième édition par Ch. </w:t>
      </w:r>
      <w:proofErr w:type="spellStart"/>
      <w:r w:rsidRPr="006C2B25">
        <w:rPr>
          <w:smallCaps/>
          <w:szCs w:val="24"/>
          <w:lang w:val="fr-FR"/>
        </w:rPr>
        <w:t>Eisenmann</w:t>
      </w:r>
      <w:proofErr w:type="spellEnd"/>
      <w:r w:rsidRPr="006C2B25">
        <w:rPr>
          <w:szCs w:val="24"/>
          <w:lang w:val="fr-FR"/>
        </w:rPr>
        <w:t xml:space="preserve">, 1962, </w:t>
      </w:r>
      <w:proofErr w:type="spellStart"/>
      <w:r w:rsidRPr="006C2B25">
        <w:rPr>
          <w:szCs w:val="24"/>
          <w:lang w:val="fr-FR"/>
        </w:rPr>
        <w:t>Bruylant</w:t>
      </w:r>
      <w:proofErr w:type="spellEnd"/>
      <w:r w:rsidRPr="006C2B25">
        <w:rPr>
          <w:szCs w:val="24"/>
          <w:lang w:val="fr-FR"/>
        </w:rPr>
        <w:t>-LGDJ, La pensée juridique, 1999, 367 p.</w:t>
      </w:r>
    </w:p>
    <w:p w14:paraId="416A55DE" w14:textId="77777777" w:rsidR="003C397A" w:rsidRPr="006C2B25" w:rsidRDefault="003C397A" w:rsidP="003C397A">
      <w:pPr>
        <w:pStyle w:val="Stylesansnom"/>
        <w:rPr>
          <w:smallCaps/>
          <w:szCs w:val="24"/>
          <w:lang w:val="fr-FR"/>
        </w:rPr>
      </w:pPr>
    </w:p>
    <w:p w14:paraId="276D0A81" w14:textId="77777777" w:rsidR="003C397A" w:rsidRPr="008F7B8B" w:rsidRDefault="003C397A" w:rsidP="003C397A">
      <w:pPr>
        <w:pStyle w:val="Stylesansnom"/>
        <w:rPr>
          <w:lang w:val="fr-FR"/>
        </w:rPr>
      </w:pPr>
      <w:proofErr w:type="spellStart"/>
      <w:r w:rsidRPr="008F7B8B">
        <w:rPr>
          <w:smallCaps/>
          <w:lang w:val="fr-FR"/>
        </w:rPr>
        <w:t>Alland</w:t>
      </w:r>
      <w:proofErr w:type="spellEnd"/>
      <w:r w:rsidRPr="008F7B8B">
        <w:rPr>
          <w:smallCaps/>
          <w:lang w:val="fr-FR"/>
        </w:rPr>
        <w:t xml:space="preserve"> </w:t>
      </w:r>
      <w:r w:rsidRPr="008F7B8B">
        <w:rPr>
          <w:lang w:val="fr-FR"/>
        </w:rPr>
        <w:t xml:space="preserve">(D.), « Consécration d’un paradoxe : primauté du droit interne sur le droit international », </w:t>
      </w:r>
      <w:r w:rsidRPr="008F7B8B">
        <w:rPr>
          <w:i/>
          <w:lang w:val="fr-FR"/>
        </w:rPr>
        <w:t>R.F.D.A.</w:t>
      </w:r>
      <w:r w:rsidRPr="008F7B8B">
        <w:rPr>
          <w:lang w:val="fr-FR"/>
        </w:rPr>
        <w:t>, 1998, pp. 1094-1104.</w:t>
      </w:r>
    </w:p>
    <w:p w14:paraId="1D38BD13" w14:textId="77777777" w:rsidR="003C397A" w:rsidRPr="008F7B8B" w:rsidRDefault="003C397A" w:rsidP="003C397A">
      <w:pPr>
        <w:pStyle w:val="Stylesansnom"/>
        <w:rPr>
          <w:lang w:val="fr-FR"/>
        </w:rPr>
      </w:pPr>
      <w:proofErr w:type="spellStart"/>
      <w:r w:rsidRPr="008F7B8B">
        <w:rPr>
          <w:smallCaps/>
          <w:lang w:val="fr-FR"/>
        </w:rPr>
        <w:t>Alland</w:t>
      </w:r>
      <w:proofErr w:type="spellEnd"/>
      <w:r w:rsidRPr="008F7B8B">
        <w:rPr>
          <w:smallCaps/>
          <w:lang w:val="fr-FR"/>
        </w:rPr>
        <w:t xml:space="preserve"> </w:t>
      </w:r>
      <w:r w:rsidRPr="008F7B8B">
        <w:rPr>
          <w:lang w:val="fr-FR"/>
        </w:rPr>
        <w:t>(D.), « Le droit international « sous » la Constitution de la V</w:t>
      </w:r>
      <w:r w:rsidRPr="008F7B8B">
        <w:rPr>
          <w:vertAlign w:val="superscript"/>
          <w:lang w:val="fr-FR"/>
        </w:rPr>
        <w:t>e</w:t>
      </w:r>
      <w:r w:rsidRPr="008F7B8B">
        <w:rPr>
          <w:lang w:val="fr-FR"/>
        </w:rPr>
        <w:t xml:space="preserve"> République », </w:t>
      </w:r>
      <w:r w:rsidRPr="008F7B8B">
        <w:rPr>
          <w:i/>
          <w:lang w:val="fr-FR"/>
        </w:rPr>
        <w:t>RDP</w:t>
      </w:r>
      <w:r w:rsidRPr="008F7B8B">
        <w:rPr>
          <w:lang w:val="fr-FR"/>
        </w:rPr>
        <w:t>, 1998, pp. 1649-1670.</w:t>
      </w:r>
    </w:p>
    <w:p w14:paraId="24BA3CF3" w14:textId="77777777" w:rsidR="003C397A" w:rsidRPr="008F7B8B" w:rsidRDefault="003C397A" w:rsidP="003C397A">
      <w:pPr>
        <w:spacing w:line="340" w:lineRule="exact"/>
        <w:rPr>
          <w:sz w:val="24"/>
        </w:rPr>
      </w:pPr>
      <w:r w:rsidRPr="008F7B8B">
        <w:rPr>
          <w:smallCaps/>
          <w:sz w:val="24"/>
        </w:rPr>
        <w:t xml:space="preserve">Cassia (P.), </w:t>
      </w:r>
      <w:proofErr w:type="spellStart"/>
      <w:r w:rsidRPr="008F7B8B">
        <w:rPr>
          <w:smallCaps/>
          <w:sz w:val="24"/>
        </w:rPr>
        <w:t>Dubouis</w:t>
      </w:r>
      <w:proofErr w:type="spellEnd"/>
      <w:r w:rsidRPr="008F7B8B">
        <w:rPr>
          <w:sz w:val="24"/>
        </w:rPr>
        <w:t xml:space="preserve"> (L.), « Nouvelles variations </w:t>
      </w:r>
      <w:r>
        <w:rPr>
          <w:sz w:val="24"/>
        </w:rPr>
        <w:t xml:space="preserve">sur la hiérarchie et l’agencement des normes internes, internationales et de l’Union européenne », </w:t>
      </w:r>
      <w:r>
        <w:rPr>
          <w:i/>
          <w:sz w:val="24"/>
        </w:rPr>
        <w:t>RFDA</w:t>
      </w:r>
      <w:r>
        <w:rPr>
          <w:sz w:val="24"/>
        </w:rPr>
        <w:t>, 2013, n° 3, pp. 653-661.</w:t>
      </w:r>
    </w:p>
    <w:p w14:paraId="17C0EEDA" w14:textId="77777777" w:rsidR="003C397A" w:rsidRPr="00B14230" w:rsidRDefault="003C397A" w:rsidP="003C397A">
      <w:pPr>
        <w:pStyle w:val="Stylesansnom"/>
        <w:rPr>
          <w:lang w:val="fr-FR"/>
        </w:rPr>
      </w:pPr>
      <w:proofErr w:type="spellStart"/>
      <w:r>
        <w:rPr>
          <w:smallCaps/>
          <w:lang w:val="fr-FR"/>
        </w:rPr>
        <w:t>Cayla</w:t>
      </w:r>
      <w:proofErr w:type="spellEnd"/>
      <w:r>
        <w:rPr>
          <w:smallCaps/>
          <w:lang w:val="fr-FR"/>
        </w:rPr>
        <w:t xml:space="preserve"> (O.), « </w:t>
      </w:r>
      <w:r>
        <w:rPr>
          <w:lang w:val="fr-FR"/>
        </w:rPr>
        <w:t xml:space="preserve">La Constitution, le traité et la loi : contributions au débat sur la hiérarchie des normes », </w:t>
      </w:r>
      <w:r>
        <w:rPr>
          <w:i/>
          <w:lang w:val="fr-FR"/>
        </w:rPr>
        <w:t>Les nouveaux cahiers du Conseil constitutionnel</w:t>
      </w:r>
      <w:r>
        <w:rPr>
          <w:lang w:val="fr-FR"/>
        </w:rPr>
        <w:t>, 1999, n° 7, pp. 77-86.</w:t>
      </w:r>
    </w:p>
    <w:p w14:paraId="5F97D9FD" w14:textId="77777777" w:rsidR="003C397A" w:rsidRPr="008F7B8B" w:rsidRDefault="003C397A" w:rsidP="003C397A">
      <w:pPr>
        <w:pStyle w:val="Stylesansnom"/>
        <w:rPr>
          <w:lang w:val="fr-FR"/>
        </w:rPr>
      </w:pPr>
      <w:proofErr w:type="spellStart"/>
      <w:r w:rsidRPr="008F7B8B">
        <w:rPr>
          <w:smallCaps/>
          <w:lang w:val="fr-FR"/>
        </w:rPr>
        <w:t>Dubouis</w:t>
      </w:r>
      <w:proofErr w:type="spellEnd"/>
      <w:r w:rsidRPr="008F7B8B">
        <w:rPr>
          <w:lang w:val="fr-FR"/>
        </w:rPr>
        <w:t xml:space="preserve"> (L.), « Le juge français et le conflit entre norme constitutionnelle et norme européenne », in </w:t>
      </w:r>
      <w:r w:rsidRPr="008F7B8B">
        <w:rPr>
          <w:i/>
          <w:lang w:val="fr-FR"/>
        </w:rPr>
        <w:t>L’Europe et le droit, Mélanges en hommage à Jean BOULOUIS</w:t>
      </w:r>
      <w:r w:rsidRPr="008F7B8B">
        <w:rPr>
          <w:lang w:val="fr-FR"/>
        </w:rPr>
        <w:t>, Dalloz, 1991, pp. 205-219.</w:t>
      </w:r>
    </w:p>
    <w:p w14:paraId="5F92B2F9" w14:textId="77777777" w:rsidR="003C397A" w:rsidRDefault="003C397A" w:rsidP="003C397A">
      <w:pPr>
        <w:pStyle w:val="Stylesansnom"/>
        <w:rPr>
          <w:sz w:val="22"/>
          <w:lang w:val="fr-FR"/>
        </w:rPr>
      </w:pPr>
      <w:r w:rsidRPr="00020FCF">
        <w:rPr>
          <w:smallCaps/>
          <w:sz w:val="22"/>
          <w:lang w:val="fr-FR"/>
        </w:rPr>
        <w:t xml:space="preserve">Kelsen </w:t>
      </w:r>
      <w:r>
        <w:rPr>
          <w:sz w:val="22"/>
          <w:lang w:val="fr-FR"/>
        </w:rPr>
        <w:t xml:space="preserve">(H.), « Les rapports de système entre le droit interne et le droit international public », </w:t>
      </w:r>
      <w:r>
        <w:rPr>
          <w:i/>
          <w:sz w:val="22"/>
          <w:lang w:val="fr-FR"/>
        </w:rPr>
        <w:t>RCADI</w:t>
      </w:r>
      <w:r>
        <w:rPr>
          <w:sz w:val="22"/>
          <w:lang w:val="fr-FR"/>
        </w:rPr>
        <w:t>, Tome IV, 1926, pp. 231-326.</w:t>
      </w:r>
    </w:p>
    <w:p w14:paraId="19E8E229" w14:textId="77777777" w:rsidR="003C397A" w:rsidRPr="00AB7029" w:rsidRDefault="003C397A" w:rsidP="003C397A">
      <w:pPr>
        <w:spacing w:line="340" w:lineRule="exact"/>
        <w:rPr>
          <w:sz w:val="24"/>
        </w:rPr>
      </w:pPr>
      <w:proofErr w:type="spellStart"/>
      <w:r w:rsidRPr="00AB7029">
        <w:rPr>
          <w:smallCaps/>
          <w:sz w:val="24"/>
        </w:rPr>
        <w:t>Puig</w:t>
      </w:r>
      <w:proofErr w:type="spellEnd"/>
      <w:r>
        <w:rPr>
          <w:sz w:val="24"/>
        </w:rPr>
        <w:t xml:space="preserve"> (P.), « Hiérarchie des normes. Du système au principe », </w:t>
      </w:r>
      <w:proofErr w:type="spellStart"/>
      <w:r>
        <w:rPr>
          <w:i/>
          <w:sz w:val="24"/>
        </w:rPr>
        <w:t>RTDCiv</w:t>
      </w:r>
      <w:proofErr w:type="spellEnd"/>
      <w:r>
        <w:rPr>
          <w:sz w:val="24"/>
        </w:rPr>
        <w:t>, 2001, n° 4, pp. 749-794.</w:t>
      </w:r>
    </w:p>
    <w:p w14:paraId="1639015C" w14:textId="77777777" w:rsidR="003C397A" w:rsidRPr="001E5BD8" w:rsidRDefault="003C397A" w:rsidP="003C397A">
      <w:pPr>
        <w:spacing w:line="340" w:lineRule="exact"/>
        <w:rPr>
          <w:sz w:val="24"/>
        </w:rPr>
      </w:pPr>
      <w:r w:rsidRPr="001E5BD8">
        <w:rPr>
          <w:smallCaps/>
          <w:sz w:val="24"/>
        </w:rPr>
        <w:lastRenderedPageBreak/>
        <w:t>Rideau</w:t>
      </w:r>
      <w:r w:rsidRPr="001E5BD8">
        <w:rPr>
          <w:sz w:val="24"/>
        </w:rPr>
        <w:t xml:space="preserve"> (J.), </w:t>
      </w:r>
      <w:r>
        <w:rPr>
          <w:sz w:val="24"/>
        </w:rPr>
        <w:t xml:space="preserve">« Droit communautaire et droit administratif, la hiérarchie des normes », </w:t>
      </w:r>
      <w:r>
        <w:rPr>
          <w:i/>
          <w:sz w:val="24"/>
        </w:rPr>
        <w:t>AJDA</w:t>
      </w:r>
      <w:r>
        <w:rPr>
          <w:sz w:val="24"/>
        </w:rPr>
        <w:t>, 1996, n° 6, pp. 6-14.</w:t>
      </w:r>
    </w:p>
    <w:p w14:paraId="23F5DE52" w14:textId="77777777" w:rsidR="003C397A" w:rsidRDefault="003C397A" w:rsidP="003C397A">
      <w:pPr>
        <w:spacing w:line="340" w:lineRule="exact"/>
        <w:rPr>
          <w:i/>
          <w:sz w:val="24"/>
        </w:rPr>
      </w:pPr>
    </w:p>
    <w:p w14:paraId="2A5EB699" w14:textId="77777777" w:rsidR="008E1E53" w:rsidRPr="004A73AE" w:rsidRDefault="008E1E53" w:rsidP="008E1E53">
      <w:pPr>
        <w:spacing w:line="340" w:lineRule="exact"/>
        <w:rPr>
          <w:sz w:val="24"/>
        </w:rPr>
      </w:pPr>
      <w:r w:rsidRPr="004A73AE">
        <w:rPr>
          <w:i/>
          <w:sz w:val="24"/>
        </w:rPr>
        <w:t>Pro</w:t>
      </w:r>
      <w:r w:rsidRPr="004A73AE">
        <w:rPr>
          <w:sz w:val="24"/>
        </w:rPr>
        <w:t xml:space="preserve"> : La Constitution prime sur le droit international et </w:t>
      </w:r>
      <w:r>
        <w:rPr>
          <w:sz w:val="24"/>
        </w:rPr>
        <w:t xml:space="preserve">le droit </w:t>
      </w:r>
      <w:r w:rsidRPr="004A73AE">
        <w:rPr>
          <w:sz w:val="24"/>
        </w:rPr>
        <w:t>européen</w:t>
      </w:r>
    </w:p>
    <w:p w14:paraId="0E8FD803" w14:textId="77777777" w:rsidR="008E1E53" w:rsidRDefault="008E1E53" w:rsidP="008E1E53">
      <w:pPr>
        <w:spacing w:line="340" w:lineRule="exact"/>
        <w:rPr>
          <w:sz w:val="24"/>
        </w:rPr>
      </w:pPr>
      <w:r w:rsidRPr="004A73AE">
        <w:rPr>
          <w:i/>
          <w:sz w:val="24"/>
        </w:rPr>
        <w:t>Contra </w:t>
      </w:r>
      <w:r w:rsidRPr="004A73AE">
        <w:rPr>
          <w:sz w:val="24"/>
        </w:rPr>
        <w:t xml:space="preserve">: Le droit international et </w:t>
      </w:r>
      <w:r>
        <w:rPr>
          <w:sz w:val="24"/>
        </w:rPr>
        <w:t xml:space="preserve">le droit </w:t>
      </w:r>
      <w:r w:rsidRPr="004A73AE">
        <w:rPr>
          <w:sz w:val="24"/>
        </w:rPr>
        <w:t>européen prime</w:t>
      </w:r>
      <w:r>
        <w:rPr>
          <w:sz w:val="24"/>
        </w:rPr>
        <w:t>nt</w:t>
      </w:r>
      <w:r w:rsidRPr="004A73AE">
        <w:rPr>
          <w:sz w:val="24"/>
        </w:rPr>
        <w:t xml:space="preserve"> sur la Constitution </w:t>
      </w:r>
    </w:p>
    <w:p w14:paraId="3F5EA90E" w14:textId="77777777" w:rsidR="009922E4" w:rsidRDefault="009922E4" w:rsidP="008E1E53">
      <w:pPr>
        <w:spacing w:line="340" w:lineRule="exact"/>
        <w:rPr>
          <w:sz w:val="24"/>
        </w:rPr>
      </w:pPr>
    </w:p>
    <w:p w14:paraId="2D88603E" w14:textId="77777777" w:rsidR="009922E4" w:rsidRPr="00270890" w:rsidRDefault="001F5D7E" w:rsidP="008E1E53">
      <w:pPr>
        <w:spacing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9922E4" w:rsidRPr="00270890">
        <w:rPr>
          <w:rFonts w:ascii="Arial" w:hAnsi="Arial" w:cs="Arial"/>
          <w:sz w:val="24"/>
        </w:rPr>
        <w:t xml:space="preserve">°) Le Conseil constitutionnel, </w:t>
      </w:r>
      <w:r w:rsidR="00270890" w:rsidRPr="00270890">
        <w:rPr>
          <w:rFonts w:ascii="Arial" w:hAnsi="Arial" w:cs="Arial"/>
          <w:sz w:val="24"/>
        </w:rPr>
        <w:t>défenseur de la Constitution ou protecteur du droit international et européen ?</w:t>
      </w:r>
    </w:p>
    <w:p w14:paraId="63E1026A" w14:textId="77777777" w:rsidR="009922E4" w:rsidRDefault="009922E4" w:rsidP="008E1E53">
      <w:pPr>
        <w:spacing w:line="340" w:lineRule="exact"/>
        <w:rPr>
          <w:sz w:val="24"/>
        </w:rPr>
      </w:pPr>
    </w:p>
    <w:p w14:paraId="4A2678D2" w14:textId="77777777" w:rsidR="009922E4" w:rsidRPr="009922E4" w:rsidRDefault="009922E4" w:rsidP="009922E4">
      <w:pPr>
        <w:spacing w:line="340" w:lineRule="exact"/>
        <w:rPr>
          <w:sz w:val="24"/>
        </w:rPr>
      </w:pPr>
      <w:r w:rsidRPr="009922E4">
        <w:rPr>
          <w:i/>
          <w:sz w:val="24"/>
        </w:rPr>
        <w:t>Pro</w:t>
      </w:r>
      <w:r>
        <w:rPr>
          <w:sz w:val="24"/>
        </w:rPr>
        <w:t> : Le</w:t>
      </w:r>
      <w:r w:rsidR="00270890" w:rsidRPr="00270890">
        <w:rPr>
          <w:sz w:val="24"/>
        </w:rPr>
        <w:t xml:space="preserve"> Conseil constitutionnel, défenseur de la Constitution</w:t>
      </w:r>
    </w:p>
    <w:p w14:paraId="40F5E1BD" w14:textId="77777777" w:rsidR="009922E4" w:rsidRDefault="009922E4" w:rsidP="009922E4">
      <w:pPr>
        <w:spacing w:line="340" w:lineRule="exact"/>
        <w:rPr>
          <w:sz w:val="24"/>
        </w:rPr>
      </w:pPr>
      <w:r w:rsidRPr="009922E4">
        <w:rPr>
          <w:i/>
          <w:sz w:val="24"/>
        </w:rPr>
        <w:t>Contra </w:t>
      </w:r>
      <w:r w:rsidRPr="009922E4">
        <w:rPr>
          <w:sz w:val="24"/>
        </w:rPr>
        <w:t>:</w:t>
      </w:r>
      <w:r w:rsidR="00270890" w:rsidRPr="00270890">
        <w:rPr>
          <w:sz w:val="24"/>
        </w:rPr>
        <w:t xml:space="preserve"> </w:t>
      </w:r>
      <w:r w:rsidR="00270890">
        <w:rPr>
          <w:sz w:val="24"/>
        </w:rPr>
        <w:t>Le</w:t>
      </w:r>
      <w:r w:rsidR="00270890" w:rsidRPr="00270890">
        <w:rPr>
          <w:sz w:val="24"/>
        </w:rPr>
        <w:t xml:space="preserve"> Conseil constitutionnel, protecteur du droit international et européen</w:t>
      </w:r>
    </w:p>
    <w:p w14:paraId="33E1D425" w14:textId="77777777" w:rsidR="008E1E53" w:rsidRDefault="008E1E53" w:rsidP="00984127">
      <w:pPr>
        <w:spacing w:line="240" w:lineRule="auto"/>
        <w:rPr>
          <w:sz w:val="24"/>
        </w:rPr>
      </w:pPr>
    </w:p>
    <w:p w14:paraId="79946A07" w14:textId="77777777" w:rsidR="00FA1E33" w:rsidRDefault="005944CC" w:rsidP="00984127">
      <w:pPr>
        <w:spacing w:line="240" w:lineRule="auto"/>
        <w:rPr>
          <w:rFonts w:ascii="Arial" w:hAnsi="Arial" w:cs="Arial"/>
          <w:b/>
          <w:sz w:val="24"/>
        </w:rPr>
      </w:pPr>
      <w:r w:rsidRPr="005944CC">
        <w:rPr>
          <w:rFonts w:ascii="Arial" w:hAnsi="Arial" w:cs="Arial"/>
          <w:b/>
          <w:sz w:val="24"/>
        </w:rPr>
        <w:t xml:space="preserve">§ III - </w:t>
      </w:r>
      <w:r w:rsidR="009F6EA7" w:rsidRPr="005944CC">
        <w:rPr>
          <w:rFonts w:ascii="Arial" w:hAnsi="Arial" w:cs="Arial"/>
          <w:b/>
          <w:sz w:val="24"/>
        </w:rPr>
        <w:t>Quelle</w:t>
      </w:r>
      <w:r w:rsidR="00FA1E33" w:rsidRPr="005944CC">
        <w:rPr>
          <w:rFonts w:ascii="Arial" w:hAnsi="Arial" w:cs="Arial"/>
          <w:b/>
          <w:sz w:val="24"/>
        </w:rPr>
        <w:t xml:space="preserve"> place pour les normes non écrites ?</w:t>
      </w:r>
    </w:p>
    <w:p w14:paraId="4DB47F89" w14:textId="77777777" w:rsidR="001F5D7E" w:rsidRPr="005944CC" w:rsidRDefault="001F5D7E" w:rsidP="00984127">
      <w:pPr>
        <w:spacing w:line="240" w:lineRule="auto"/>
        <w:rPr>
          <w:rFonts w:ascii="Arial" w:hAnsi="Arial" w:cs="Arial"/>
          <w:b/>
          <w:sz w:val="24"/>
        </w:rPr>
      </w:pPr>
    </w:p>
    <w:p w14:paraId="208D8150" w14:textId="77777777" w:rsidR="003C397A" w:rsidRPr="001F5D7E" w:rsidRDefault="001F5D7E" w:rsidP="00984127">
      <w:pPr>
        <w:spacing w:line="240" w:lineRule="auto"/>
        <w:rPr>
          <w:rFonts w:ascii="Arial" w:hAnsi="Arial" w:cs="Arial"/>
          <w:sz w:val="24"/>
        </w:rPr>
      </w:pPr>
      <w:r w:rsidRPr="001F5D7E">
        <w:rPr>
          <w:rFonts w:ascii="Arial" w:hAnsi="Arial" w:cs="Arial"/>
          <w:sz w:val="24"/>
        </w:rPr>
        <w:t>11</w:t>
      </w:r>
      <w:r w:rsidR="00270890" w:rsidRPr="001F5D7E">
        <w:rPr>
          <w:rFonts w:ascii="Arial" w:hAnsi="Arial" w:cs="Arial"/>
          <w:sz w:val="24"/>
        </w:rPr>
        <w:t xml:space="preserve">°) </w:t>
      </w:r>
      <w:r w:rsidR="00B557DD" w:rsidRPr="001F5D7E">
        <w:rPr>
          <w:rFonts w:ascii="Arial" w:hAnsi="Arial" w:cs="Arial"/>
          <w:sz w:val="24"/>
        </w:rPr>
        <w:t>Le mythe de la coutume ou du « droit spontané » sous la V</w:t>
      </w:r>
      <w:r w:rsidR="00B557DD" w:rsidRPr="001F5D7E">
        <w:rPr>
          <w:rFonts w:ascii="Arial" w:hAnsi="Arial" w:cs="Arial"/>
          <w:sz w:val="24"/>
          <w:vertAlign w:val="superscript"/>
        </w:rPr>
        <w:t>ème</w:t>
      </w:r>
      <w:r w:rsidR="00B557DD" w:rsidRPr="001F5D7E">
        <w:rPr>
          <w:rFonts w:ascii="Arial" w:hAnsi="Arial" w:cs="Arial"/>
          <w:sz w:val="24"/>
        </w:rPr>
        <w:t xml:space="preserve"> République</w:t>
      </w:r>
    </w:p>
    <w:p w14:paraId="6FA6AC08" w14:textId="77777777" w:rsidR="00270890" w:rsidRDefault="00270890" w:rsidP="00984127">
      <w:pPr>
        <w:spacing w:line="240" w:lineRule="auto"/>
        <w:rPr>
          <w:sz w:val="24"/>
        </w:rPr>
      </w:pPr>
    </w:p>
    <w:p w14:paraId="6822A42B" w14:textId="77777777" w:rsid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Pro</w:t>
      </w:r>
      <w:r>
        <w:rPr>
          <w:sz w:val="24"/>
        </w:rPr>
        <w:t> :</w:t>
      </w:r>
      <w:r w:rsidR="00B557DD">
        <w:rPr>
          <w:sz w:val="24"/>
        </w:rPr>
        <w:t xml:space="preserve"> Le droit est produit en dehors du droit</w:t>
      </w:r>
    </w:p>
    <w:p w14:paraId="1400E9CE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Contra</w:t>
      </w:r>
      <w:r>
        <w:rPr>
          <w:sz w:val="24"/>
        </w:rPr>
        <w:t> :</w:t>
      </w:r>
      <w:r w:rsidR="00B557DD">
        <w:rPr>
          <w:sz w:val="24"/>
        </w:rPr>
        <w:t xml:space="preserve"> Le droit ne saurait être produit en dehors du droit</w:t>
      </w:r>
    </w:p>
    <w:p w14:paraId="021631B2" w14:textId="77777777" w:rsidR="003C397A" w:rsidRDefault="003C397A" w:rsidP="00984127">
      <w:pPr>
        <w:spacing w:line="240" w:lineRule="auto"/>
        <w:rPr>
          <w:sz w:val="24"/>
        </w:rPr>
      </w:pPr>
    </w:p>
    <w:p w14:paraId="287D336F" w14:textId="77777777" w:rsidR="007D0D10" w:rsidRPr="005944CC" w:rsidRDefault="005944CC" w:rsidP="00984127">
      <w:pPr>
        <w:spacing w:line="240" w:lineRule="auto"/>
        <w:rPr>
          <w:rFonts w:ascii="Arial" w:hAnsi="Arial" w:cs="Arial"/>
          <w:b/>
          <w:sz w:val="24"/>
        </w:rPr>
      </w:pPr>
      <w:r w:rsidRPr="005944CC">
        <w:rPr>
          <w:rFonts w:ascii="Arial" w:hAnsi="Arial" w:cs="Arial"/>
          <w:b/>
          <w:sz w:val="24"/>
        </w:rPr>
        <w:t xml:space="preserve">§ IV - </w:t>
      </w:r>
      <w:r w:rsidR="007D0D10" w:rsidRPr="005944CC">
        <w:rPr>
          <w:rFonts w:ascii="Arial" w:hAnsi="Arial" w:cs="Arial"/>
          <w:b/>
          <w:sz w:val="24"/>
        </w:rPr>
        <w:t>La place cruciale de la loi</w:t>
      </w:r>
    </w:p>
    <w:p w14:paraId="662B04E3" w14:textId="77777777" w:rsidR="009F6EA7" w:rsidRDefault="009F6EA7" w:rsidP="00984127">
      <w:pPr>
        <w:spacing w:line="240" w:lineRule="auto"/>
        <w:rPr>
          <w:sz w:val="24"/>
        </w:rPr>
      </w:pPr>
    </w:p>
    <w:p w14:paraId="1B6767F6" w14:textId="77777777" w:rsidR="001F5D7E" w:rsidRPr="005B2BB1" w:rsidRDefault="001F5D7E" w:rsidP="001F5D7E">
      <w:pPr>
        <w:spacing w:line="240" w:lineRule="auto"/>
        <w:rPr>
          <w:sz w:val="24"/>
        </w:rPr>
      </w:pPr>
      <w:r>
        <w:rPr>
          <w:rFonts w:ascii="Arial" w:hAnsi="Arial" w:cs="Arial"/>
          <w:sz w:val="24"/>
        </w:rPr>
        <w:t>12</w:t>
      </w:r>
      <w:r w:rsidR="00270890" w:rsidRPr="00270890">
        <w:rPr>
          <w:rFonts w:ascii="Arial" w:hAnsi="Arial" w:cs="Arial"/>
          <w:sz w:val="24"/>
        </w:rPr>
        <w:t>°)</w:t>
      </w:r>
      <w:r w:rsidR="00B557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 soumission de la loi au droit, le passage de l’</w:t>
      </w:r>
      <w:proofErr w:type="spellStart"/>
      <w:r>
        <w:rPr>
          <w:rFonts w:ascii="Arial" w:hAnsi="Arial" w:cs="Arial"/>
          <w:sz w:val="24"/>
        </w:rPr>
        <w:t>Etat</w:t>
      </w:r>
      <w:proofErr w:type="spellEnd"/>
      <w:r>
        <w:rPr>
          <w:rFonts w:ascii="Arial" w:hAnsi="Arial" w:cs="Arial"/>
          <w:sz w:val="24"/>
        </w:rPr>
        <w:t xml:space="preserve"> légal à l’</w:t>
      </w:r>
      <w:proofErr w:type="spellStart"/>
      <w:r>
        <w:rPr>
          <w:rFonts w:ascii="Arial" w:hAnsi="Arial" w:cs="Arial"/>
          <w:sz w:val="24"/>
        </w:rPr>
        <w:t>Etat</w:t>
      </w:r>
      <w:proofErr w:type="spellEnd"/>
      <w:r>
        <w:rPr>
          <w:rFonts w:ascii="Arial" w:hAnsi="Arial" w:cs="Arial"/>
          <w:sz w:val="24"/>
        </w:rPr>
        <w:t xml:space="preserve"> de droit</w:t>
      </w:r>
    </w:p>
    <w:p w14:paraId="690C06A1" w14:textId="77777777" w:rsidR="00270890" w:rsidRDefault="00270890" w:rsidP="00984127">
      <w:pPr>
        <w:spacing w:line="240" w:lineRule="auto"/>
        <w:rPr>
          <w:sz w:val="24"/>
        </w:rPr>
      </w:pPr>
    </w:p>
    <w:p w14:paraId="0D674C85" w14:textId="77777777" w:rsid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Pro</w:t>
      </w:r>
      <w:r>
        <w:rPr>
          <w:sz w:val="24"/>
        </w:rPr>
        <w:t> :</w:t>
      </w:r>
      <w:r w:rsidR="001F5D7E">
        <w:rPr>
          <w:sz w:val="24"/>
        </w:rPr>
        <w:t xml:space="preserve"> Le contrôle de constitutionnalité instrument de renforcement de l’</w:t>
      </w:r>
      <w:proofErr w:type="spellStart"/>
      <w:r w:rsidR="001F5D7E">
        <w:rPr>
          <w:sz w:val="24"/>
        </w:rPr>
        <w:t>Etat</w:t>
      </w:r>
      <w:proofErr w:type="spellEnd"/>
      <w:r w:rsidR="001F5D7E">
        <w:rPr>
          <w:sz w:val="24"/>
        </w:rPr>
        <w:t xml:space="preserve"> de droit</w:t>
      </w:r>
    </w:p>
    <w:p w14:paraId="4EEF51B9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Contra</w:t>
      </w:r>
      <w:r>
        <w:rPr>
          <w:sz w:val="24"/>
        </w:rPr>
        <w:t> :</w:t>
      </w:r>
      <w:r w:rsidR="001F5D7E" w:rsidRPr="001F5D7E">
        <w:rPr>
          <w:sz w:val="24"/>
        </w:rPr>
        <w:t xml:space="preserve"> Le contrôle de constitutionnalité</w:t>
      </w:r>
      <w:r w:rsidR="001F5D7E">
        <w:rPr>
          <w:sz w:val="24"/>
        </w:rPr>
        <w:t xml:space="preserve"> en France, instrument de défense de l’</w:t>
      </w:r>
      <w:proofErr w:type="spellStart"/>
      <w:r w:rsidR="001F5D7E">
        <w:rPr>
          <w:sz w:val="24"/>
        </w:rPr>
        <w:t>Etat</w:t>
      </w:r>
      <w:proofErr w:type="spellEnd"/>
      <w:r w:rsidR="001F5D7E">
        <w:rPr>
          <w:sz w:val="24"/>
        </w:rPr>
        <w:t xml:space="preserve"> contre le citoyen</w:t>
      </w:r>
    </w:p>
    <w:p w14:paraId="4E1F0404" w14:textId="77777777" w:rsidR="00270890" w:rsidRDefault="00270890" w:rsidP="00984127">
      <w:pPr>
        <w:spacing w:line="240" w:lineRule="auto"/>
        <w:rPr>
          <w:sz w:val="24"/>
        </w:rPr>
      </w:pPr>
    </w:p>
    <w:p w14:paraId="16E9F72E" w14:textId="77777777" w:rsidR="001F5D7E" w:rsidRPr="00270890" w:rsidRDefault="001F5D7E" w:rsidP="001F5D7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270890" w:rsidRPr="00270890">
        <w:rPr>
          <w:rFonts w:ascii="Arial" w:hAnsi="Arial" w:cs="Arial"/>
          <w:sz w:val="24"/>
        </w:rPr>
        <w:t>°)</w:t>
      </w:r>
      <w:r w:rsidRPr="001F5D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Quelles limites matérielles à la loi ?</w:t>
      </w:r>
    </w:p>
    <w:p w14:paraId="28BC5E81" w14:textId="77777777" w:rsidR="001F5D7E" w:rsidRDefault="001F5D7E" w:rsidP="001F5D7E">
      <w:pPr>
        <w:spacing w:line="340" w:lineRule="exact"/>
        <w:rPr>
          <w:sz w:val="24"/>
          <w:u w:val="single"/>
        </w:rPr>
      </w:pPr>
    </w:p>
    <w:p w14:paraId="5D823694" w14:textId="77777777" w:rsidR="001F5D7E" w:rsidRPr="005B2BB1" w:rsidRDefault="001F5D7E" w:rsidP="001F5D7E">
      <w:pPr>
        <w:spacing w:line="340" w:lineRule="exact"/>
        <w:rPr>
          <w:sz w:val="24"/>
        </w:rPr>
      </w:pPr>
      <w:r w:rsidRPr="005B2BB1">
        <w:rPr>
          <w:sz w:val="24"/>
          <w:u w:val="single"/>
        </w:rPr>
        <w:t>Dispositions constitutionnelles de référence</w:t>
      </w:r>
      <w:r w:rsidRPr="005B2BB1">
        <w:rPr>
          <w:sz w:val="24"/>
        </w:rPr>
        <w:t> : art. 34 et 37 C., art. 41 et 61 C.</w:t>
      </w:r>
    </w:p>
    <w:p w14:paraId="6774C30D" w14:textId="77777777" w:rsidR="001F5D7E" w:rsidRPr="005B2BB1" w:rsidRDefault="001F5D7E" w:rsidP="001F5D7E">
      <w:pPr>
        <w:spacing w:line="340" w:lineRule="exact"/>
        <w:rPr>
          <w:sz w:val="24"/>
        </w:rPr>
      </w:pPr>
      <w:r w:rsidRPr="005B2BB1">
        <w:rPr>
          <w:sz w:val="24"/>
          <w:u w:val="single"/>
        </w:rPr>
        <w:t>Jurisprudence</w:t>
      </w:r>
      <w:r w:rsidRPr="005B2BB1">
        <w:rPr>
          <w:sz w:val="24"/>
        </w:rPr>
        <w:t xml:space="preserve"> : C.C., n° 69-55 L, 26 juin 1969, </w:t>
      </w:r>
      <w:r w:rsidRPr="005B2BB1">
        <w:rPr>
          <w:i/>
          <w:sz w:val="24"/>
        </w:rPr>
        <w:t>Protection des sites</w:t>
      </w:r>
      <w:r w:rsidRPr="005B2BB1">
        <w:rPr>
          <w:sz w:val="24"/>
        </w:rPr>
        <w:t xml:space="preserve"> ; n° 82-143 DC, 30 juillet 1982, </w:t>
      </w:r>
      <w:r w:rsidRPr="005B2BB1">
        <w:rPr>
          <w:i/>
          <w:sz w:val="24"/>
        </w:rPr>
        <w:t>Blocage des prix et des revenus</w:t>
      </w:r>
      <w:r w:rsidRPr="005B2BB1">
        <w:rPr>
          <w:sz w:val="24"/>
        </w:rPr>
        <w:t xml:space="preserve"> ; n° 2005-512 DC, 21 avril 2005, </w:t>
      </w:r>
      <w:r w:rsidRPr="005B2BB1">
        <w:rPr>
          <w:i/>
          <w:sz w:val="24"/>
        </w:rPr>
        <w:t>Loi d’orientation pour l’avenir de l’école</w:t>
      </w:r>
      <w:r w:rsidRPr="005B2BB1">
        <w:rPr>
          <w:sz w:val="24"/>
        </w:rPr>
        <w:t xml:space="preserve"> ; n° 2012-649 DC, 15 mars 2012, </w:t>
      </w:r>
      <w:r w:rsidRPr="005B2BB1">
        <w:rPr>
          <w:i/>
          <w:sz w:val="24"/>
        </w:rPr>
        <w:t>Loi relative à la simplification du droit et à l'allègement des démarches administratives</w:t>
      </w:r>
    </w:p>
    <w:p w14:paraId="056BAA29" w14:textId="77777777" w:rsidR="001F5D7E" w:rsidRPr="005B2BB1" w:rsidRDefault="001F5D7E" w:rsidP="001F5D7E">
      <w:pPr>
        <w:spacing w:line="340" w:lineRule="exact"/>
        <w:rPr>
          <w:b/>
          <w:sz w:val="24"/>
        </w:rPr>
      </w:pPr>
      <w:r w:rsidRPr="005B2BB1">
        <w:rPr>
          <w:sz w:val="24"/>
        </w:rPr>
        <w:t xml:space="preserve">C.E., 8 février 1985, </w:t>
      </w:r>
      <w:r w:rsidRPr="005B2BB1">
        <w:rPr>
          <w:i/>
          <w:sz w:val="24"/>
        </w:rPr>
        <w:t>Assoc. Des centres E. Leclerc </w:t>
      </w:r>
      <w:r w:rsidRPr="005B2BB1">
        <w:rPr>
          <w:sz w:val="24"/>
        </w:rPr>
        <w:t xml:space="preserve">; Sect., 3 décembre 1999, </w:t>
      </w:r>
      <w:r w:rsidRPr="005B2BB1">
        <w:rPr>
          <w:i/>
          <w:sz w:val="24"/>
        </w:rPr>
        <w:t>Association ornithologique et mammologique de Saône-et-Loire et Rassemblement des opposants à la chasse</w:t>
      </w:r>
    </w:p>
    <w:p w14:paraId="0E6B919B" w14:textId="77777777" w:rsidR="001F5D7E" w:rsidRPr="005B2BB1" w:rsidRDefault="001F5D7E" w:rsidP="001F5D7E">
      <w:pPr>
        <w:spacing w:line="340" w:lineRule="exact"/>
        <w:rPr>
          <w:i/>
          <w:sz w:val="24"/>
        </w:rPr>
      </w:pPr>
      <w:r w:rsidRPr="005B2BB1">
        <w:rPr>
          <w:sz w:val="24"/>
          <w:u w:val="single"/>
        </w:rPr>
        <w:t xml:space="preserve">Référence dans le </w:t>
      </w:r>
      <w:r w:rsidRPr="005B2BB1">
        <w:rPr>
          <w:i/>
          <w:sz w:val="24"/>
          <w:u w:val="single"/>
        </w:rPr>
        <w:t>Code constitutionnel </w:t>
      </w:r>
      <w:r w:rsidRPr="005B2BB1">
        <w:rPr>
          <w:sz w:val="24"/>
        </w:rPr>
        <w:t>: sous art. 34 C., p. 637 et s., sous art. 37 C., p. 678 et s., sous art. 41 C., p. 693 et s.</w:t>
      </w:r>
    </w:p>
    <w:p w14:paraId="4FBDAF50" w14:textId="77777777" w:rsidR="001F5D7E" w:rsidRPr="005B2BB1" w:rsidRDefault="001F5D7E" w:rsidP="001F5D7E">
      <w:pPr>
        <w:spacing w:line="340" w:lineRule="exact"/>
        <w:rPr>
          <w:i/>
          <w:sz w:val="24"/>
        </w:rPr>
      </w:pPr>
    </w:p>
    <w:p w14:paraId="3AFB7F42" w14:textId="77777777" w:rsidR="001F5D7E" w:rsidRPr="005B2BB1" w:rsidRDefault="001F5D7E" w:rsidP="001F5D7E">
      <w:pPr>
        <w:spacing w:line="340" w:lineRule="exact"/>
        <w:rPr>
          <w:sz w:val="24"/>
        </w:rPr>
      </w:pPr>
      <w:r w:rsidRPr="005B2BB1">
        <w:rPr>
          <w:i/>
          <w:sz w:val="24"/>
        </w:rPr>
        <w:t>Pro </w:t>
      </w:r>
      <w:r w:rsidRPr="005B2BB1">
        <w:rPr>
          <w:sz w:val="24"/>
        </w:rPr>
        <w:t xml:space="preserve">: Une compétence d’attribution du législateur sanctionnée par le Conseil constitutionnel </w:t>
      </w:r>
    </w:p>
    <w:p w14:paraId="5D4DCFBB" w14:textId="77777777" w:rsidR="001F5D7E" w:rsidRPr="005B2BB1" w:rsidRDefault="001F5D7E" w:rsidP="001F5D7E">
      <w:pPr>
        <w:spacing w:line="340" w:lineRule="exact"/>
        <w:rPr>
          <w:sz w:val="24"/>
        </w:rPr>
      </w:pPr>
      <w:r w:rsidRPr="005B2BB1">
        <w:rPr>
          <w:i/>
          <w:sz w:val="24"/>
        </w:rPr>
        <w:t>Contra </w:t>
      </w:r>
      <w:r w:rsidRPr="005B2BB1">
        <w:rPr>
          <w:sz w:val="24"/>
        </w:rPr>
        <w:t>: Une jurisprudence constitutionnelle bienveillante renforçant le domaine du pouvoir législatif</w:t>
      </w:r>
    </w:p>
    <w:p w14:paraId="0D272116" w14:textId="77777777" w:rsidR="00270890" w:rsidRPr="00270890" w:rsidRDefault="00270890" w:rsidP="00984127">
      <w:pPr>
        <w:spacing w:line="240" w:lineRule="auto"/>
        <w:rPr>
          <w:rFonts w:ascii="Arial" w:hAnsi="Arial" w:cs="Arial"/>
          <w:sz w:val="24"/>
        </w:rPr>
      </w:pPr>
    </w:p>
    <w:p w14:paraId="312D0EE7" w14:textId="77777777" w:rsidR="001F5D7E" w:rsidRPr="001F5D7E" w:rsidRDefault="001F5D7E" w:rsidP="001F5D7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 w:rsidR="00270890" w:rsidRPr="00270890">
        <w:rPr>
          <w:rFonts w:ascii="Arial" w:hAnsi="Arial" w:cs="Arial"/>
          <w:sz w:val="24"/>
        </w:rPr>
        <w:t>°)</w:t>
      </w:r>
      <w:r>
        <w:rPr>
          <w:rFonts w:ascii="Arial" w:hAnsi="Arial" w:cs="Arial"/>
          <w:sz w:val="24"/>
        </w:rPr>
        <w:t xml:space="preserve"> </w:t>
      </w:r>
      <w:r w:rsidRPr="001F5D7E">
        <w:rPr>
          <w:rFonts w:ascii="Arial" w:hAnsi="Arial" w:cs="Arial"/>
          <w:sz w:val="24"/>
        </w:rPr>
        <w:t>Les exigences de « bonne législation » contre les « neutrons législatifs »</w:t>
      </w:r>
    </w:p>
    <w:p w14:paraId="28A17974" w14:textId="77777777" w:rsidR="001F5D7E" w:rsidRPr="001F5D7E" w:rsidRDefault="001F5D7E" w:rsidP="001F5D7E">
      <w:pPr>
        <w:spacing w:line="240" w:lineRule="auto"/>
        <w:rPr>
          <w:rFonts w:ascii="Arial" w:hAnsi="Arial" w:cs="Arial"/>
          <w:i/>
          <w:sz w:val="24"/>
        </w:rPr>
      </w:pPr>
    </w:p>
    <w:p w14:paraId="55BD2032" w14:textId="77777777" w:rsidR="001F5D7E" w:rsidRPr="001F5D7E" w:rsidRDefault="001F5D7E" w:rsidP="001F5D7E">
      <w:pPr>
        <w:spacing w:line="240" w:lineRule="auto"/>
        <w:rPr>
          <w:rFonts w:cs="Arial"/>
          <w:sz w:val="24"/>
        </w:rPr>
      </w:pPr>
      <w:r w:rsidRPr="001F5D7E">
        <w:rPr>
          <w:rFonts w:cs="Arial"/>
          <w:i/>
          <w:sz w:val="24"/>
        </w:rPr>
        <w:lastRenderedPageBreak/>
        <w:t>Pro</w:t>
      </w:r>
      <w:r>
        <w:rPr>
          <w:rFonts w:cs="Arial"/>
          <w:sz w:val="24"/>
        </w:rPr>
        <w:t> : D</w:t>
      </w:r>
      <w:r w:rsidRPr="001F5D7E">
        <w:rPr>
          <w:rFonts w:cs="Arial"/>
          <w:sz w:val="24"/>
        </w:rPr>
        <w:t>es exigences jurisprudentielles renforçant la qualité de la loi</w:t>
      </w:r>
    </w:p>
    <w:p w14:paraId="5388FBD3" w14:textId="77777777" w:rsidR="00270890" w:rsidRPr="001F5D7E" w:rsidRDefault="001F5D7E" w:rsidP="00984127">
      <w:pPr>
        <w:spacing w:line="240" w:lineRule="auto"/>
        <w:rPr>
          <w:rFonts w:cs="Arial"/>
          <w:sz w:val="24"/>
        </w:rPr>
      </w:pPr>
      <w:r w:rsidRPr="001F5D7E">
        <w:rPr>
          <w:rFonts w:cs="Arial"/>
          <w:i/>
          <w:sz w:val="24"/>
        </w:rPr>
        <w:t>Contra</w:t>
      </w:r>
      <w:r>
        <w:rPr>
          <w:rFonts w:cs="Arial"/>
          <w:sz w:val="24"/>
        </w:rPr>
        <w:t> : D</w:t>
      </w:r>
      <w:r w:rsidRPr="001F5D7E">
        <w:rPr>
          <w:rFonts w:cs="Arial"/>
          <w:sz w:val="24"/>
        </w:rPr>
        <w:t>es exigences à la portée purement formelle</w:t>
      </w:r>
    </w:p>
    <w:p w14:paraId="4931A970" w14:textId="77777777" w:rsidR="005944CC" w:rsidRDefault="005944CC" w:rsidP="00984127">
      <w:pPr>
        <w:spacing w:line="240" w:lineRule="auto"/>
        <w:rPr>
          <w:sz w:val="24"/>
        </w:rPr>
      </w:pPr>
    </w:p>
    <w:p w14:paraId="113E1B16" w14:textId="77777777" w:rsidR="00FA1E33" w:rsidRPr="005944CC" w:rsidRDefault="00270890" w:rsidP="0098412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="005944CC" w:rsidRPr="005944CC">
        <w:rPr>
          <w:rFonts w:ascii="Arial" w:hAnsi="Arial" w:cs="Arial"/>
          <w:b/>
          <w:sz w:val="24"/>
        </w:rPr>
        <w:t>V - Un</w:t>
      </w:r>
      <w:r w:rsidR="007D0D10" w:rsidRPr="005944CC">
        <w:rPr>
          <w:rFonts w:ascii="Arial" w:hAnsi="Arial" w:cs="Arial"/>
          <w:b/>
          <w:sz w:val="24"/>
        </w:rPr>
        <w:t xml:space="preserve"> domaine réglementaire </w:t>
      </w:r>
      <w:r w:rsidR="001F5D7E">
        <w:rPr>
          <w:rFonts w:ascii="Arial" w:hAnsi="Arial" w:cs="Arial"/>
          <w:b/>
          <w:sz w:val="24"/>
        </w:rPr>
        <w:t xml:space="preserve">(national et local) </w:t>
      </w:r>
      <w:r w:rsidR="007D0D10" w:rsidRPr="005944CC">
        <w:rPr>
          <w:rFonts w:ascii="Arial" w:hAnsi="Arial" w:cs="Arial"/>
          <w:b/>
          <w:sz w:val="24"/>
        </w:rPr>
        <w:t>secondaire</w:t>
      </w:r>
    </w:p>
    <w:p w14:paraId="16A1D5F7" w14:textId="77777777" w:rsidR="005944CC" w:rsidRDefault="005944CC" w:rsidP="00984127">
      <w:pPr>
        <w:spacing w:line="240" w:lineRule="auto"/>
        <w:rPr>
          <w:sz w:val="24"/>
        </w:rPr>
      </w:pPr>
    </w:p>
    <w:p w14:paraId="599A1655" w14:textId="77777777" w:rsidR="00270890" w:rsidRPr="00270890" w:rsidRDefault="001F5D7E" w:rsidP="0098412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270890" w:rsidRPr="00270890">
        <w:rPr>
          <w:rFonts w:ascii="Arial" w:hAnsi="Arial" w:cs="Arial"/>
          <w:sz w:val="24"/>
        </w:rPr>
        <w:t>°)</w:t>
      </w:r>
      <w:r w:rsidR="00FF1473">
        <w:rPr>
          <w:rFonts w:ascii="Arial" w:hAnsi="Arial" w:cs="Arial"/>
          <w:sz w:val="24"/>
        </w:rPr>
        <w:t xml:space="preserve"> Les pouvoirs réglementaires sous la V</w:t>
      </w:r>
      <w:r w:rsidR="00FF1473" w:rsidRPr="00FF1473">
        <w:rPr>
          <w:rFonts w:ascii="Arial" w:hAnsi="Arial" w:cs="Arial"/>
          <w:sz w:val="24"/>
          <w:vertAlign w:val="superscript"/>
        </w:rPr>
        <w:t>ème</w:t>
      </w:r>
      <w:r w:rsidR="00FF1473">
        <w:rPr>
          <w:rFonts w:ascii="Arial" w:hAnsi="Arial" w:cs="Arial"/>
          <w:sz w:val="24"/>
        </w:rPr>
        <w:t xml:space="preserve"> République</w:t>
      </w:r>
    </w:p>
    <w:p w14:paraId="07579E2A" w14:textId="77777777" w:rsidR="00270890" w:rsidRDefault="00270890" w:rsidP="00984127">
      <w:pPr>
        <w:spacing w:line="240" w:lineRule="auto"/>
        <w:rPr>
          <w:sz w:val="24"/>
        </w:rPr>
      </w:pPr>
    </w:p>
    <w:p w14:paraId="475B5838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Pro</w:t>
      </w:r>
      <w:r w:rsidRPr="00270890">
        <w:rPr>
          <w:sz w:val="24"/>
        </w:rPr>
        <w:t> :</w:t>
      </w:r>
      <w:r w:rsidR="001F5D7E">
        <w:rPr>
          <w:sz w:val="24"/>
        </w:rPr>
        <w:t xml:space="preserve"> La pluralité des titulaires du pouvoir réglementaire</w:t>
      </w:r>
    </w:p>
    <w:p w14:paraId="16544792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Contra</w:t>
      </w:r>
      <w:r w:rsidRPr="00270890">
        <w:rPr>
          <w:sz w:val="24"/>
        </w:rPr>
        <w:t> :</w:t>
      </w:r>
      <w:r w:rsidR="001F5D7E">
        <w:rPr>
          <w:sz w:val="24"/>
        </w:rPr>
        <w:t xml:space="preserve"> La domination du pouvoir réglementaire national du Premier ministre</w:t>
      </w:r>
    </w:p>
    <w:p w14:paraId="3A4A5CBE" w14:textId="77777777" w:rsidR="005944CC" w:rsidRDefault="005944CC" w:rsidP="00984127">
      <w:pPr>
        <w:spacing w:line="240" w:lineRule="auto"/>
        <w:rPr>
          <w:sz w:val="24"/>
        </w:rPr>
      </w:pPr>
    </w:p>
    <w:p w14:paraId="51D4C169" w14:textId="77777777" w:rsidR="005B2752" w:rsidRPr="00395F4E" w:rsidRDefault="001F5D7E" w:rsidP="005B2752">
      <w:pPr>
        <w:spacing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5B2752" w:rsidRPr="00395F4E">
        <w:rPr>
          <w:rFonts w:ascii="Arial" w:hAnsi="Arial" w:cs="Arial"/>
          <w:sz w:val="24"/>
        </w:rPr>
        <w:t xml:space="preserve">°) La France un </w:t>
      </w:r>
      <w:proofErr w:type="spellStart"/>
      <w:r w:rsidR="005B2752" w:rsidRPr="00395F4E">
        <w:rPr>
          <w:rFonts w:ascii="Arial" w:hAnsi="Arial" w:cs="Arial"/>
          <w:sz w:val="24"/>
        </w:rPr>
        <w:t>Etat</w:t>
      </w:r>
      <w:proofErr w:type="spellEnd"/>
      <w:r w:rsidR="005B2752" w:rsidRPr="00395F4E">
        <w:rPr>
          <w:rFonts w:ascii="Arial" w:hAnsi="Arial" w:cs="Arial"/>
          <w:sz w:val="24"/>
        </w:rPr>
        <w:t xml:space="preserve"> régional ?</w:t>
      </w:r>
    </w:p>
    <w:p w14:paraId="6A0CB18F" w14:textId="77777777" w:rsidR="005B2752" w:rsidRDefault="005B2752" w:rsidP="005B2752">
      <w:pPr>
        <w:spacing w:line="340" w:lineRule="exact"/>
        <w:rPr>
          <w:sz w:val="24"/>
          <w:u w:val="single"/>
        </w:rPr>
      </w:pPr>
    </w:p>
    <w:p w14:paraId="0404A1AE" w14:textId="77777777" w:rsidR="005B2752" w:rsidRDefault="005B2752" w:rsidP="005B2752">
      <w:pPr>
        <w:spacing w:line="340" w:lineRule="exact"/>
        <w:rPr>
          <w:sz w:val="24"/>
        </w:rPr>
      </w:pPr>
      <w:r w:rsidRPr="00F03DCE">
        <w:rPr>
          <w:sz w:val="24"/>
          <w:u w:val="single"/>
        </w:rPr>
        <w:t>Dispositions constitutionnelles de référence</w:t>
      </w:r>
      <w:r>
        <w:rPr>
          <w:sz w:val="24"/>
        </w:rPr>
        <w:t> : art. 1</w:t>
      </w:r>
      <w:r w:rsidRPr="00635BC0">
        <w:rPr>
          <w:sz w:val="24"/>
          <w:vertAlign w:val="superscript"/>
        </w:rPr>
        <w:t>er</w:t>
      </w:r>
      <w:r>
        <w:rPr>
          <w:sz w:val="24"/>
        </w:rPr>
        <w:t xml:space="preserve"> C., titre XII, Des collectivités territoriales, et plus précisément art. 73 et 74 de la Constitution, titre XIII Dispositions transitoires relatives à la Nouvelle-Calédonie.</w:t>
      </w:r>
    </w:p>
    <w:p w14:paraId="40BB44D0" w14:textId="77777777" w:rsidR="005B2752" w:rsidRDefault="005B2752" w:rsidP="005B2752">
      <w:pPr>
        <w:tabs>
          <w:tab w:val="left" w:pos="743"/>
        </w:tabs>
        <w:spacing w:line="340" w:lineRule="exact"/>
        <w:rPr>
          <w:rStyle w:val="Accentuation"/>
          <w:i w:val="0"/>
          <w:sz w:val="24"/>
        </w:rPr>
      </w:pPr>
      <w:r w:rsidRPr="008E56FE">
        <w:rPr>
          <w:sz w:val="24"/>
          <w:u w:val="single"/>
        </w:rPr>
        <w:t>Jurisprudence</w:t>
      </w:r>
      <w:r w:rsidRPr="008E56FE">
        <w:rPr>
          <w:sz w:val="24"/>
        </w:rPr>
        <w:t xml:space="preserve"> : C.C., </w:t>
      </w:r>
      <w:r w:rsidRPr="00914CF0">
        <w:rPr>
          <w:sz w:val="24"/>
        </w:rPr>
        <w:t xml:space="preserve">n° 89-196 DC, 8 août 1985, </w:t>
      </w:r>
      <w:proofErr w:type="spellStart"/>
      <w:r w:rsidRPr="00914CF0">
        <w:rPr>
          <w:i/>
          <w:sz w:val="24"/>
        </w:rPr>
        <w:t>Evolution</w:t>
      </w:r>
      <w:proofErr w:type="spellEnd"/>
      <w:r w:rsidRPr="00914CF0">
        <w:rPr>
          <w:i/>
          <w:sz w:val="24"/>
        </w:rPr>
        <w:t xml:space="preserve"> de la Nouvelle-Calédonie I </w:t>
      </w:r>
      <w:r w:rsidRPr="00914CF0">
        <w:rPr>
          <w:sz w:val="24"/>
        </w:rPr>
        <w:t xml:space="preserve">; n° 91-298 DC, 24 juillet 1991, </w:t>
      </w:r>
      <w:r w:rsidRPr="00914CF0">
        <w:rPr>
          <w:i/>
          <w:sz w:val="24"/>
        </w:rPr>
        <w:t>Dispositions fiscales rétroactives </w:t>
      </w:r>
      <w:r w:rsidRPr="00914CF0">
        <w:rPr>
          <w:sz w:val="24"/>
        </w:rPr>
        <w:t xml:space="preserve">; n° 92-316 DC, 20 janvier 1993, </w:t>
      </w:r>
      <w:r w:rsidRPr="00914CF0">
        <w:rPr>
          <w:i/>
          <w:iCs/>
          <w:sz w:val="24"/>
        </w:rPr>
        <w:t>Prévention de la corruption</w:t>
      </w:r>
      <w:r w:rsidRPr="00914CF0">
        <w:rPr>
          <w:iCs/>
          <w:sz w:val="24"/>
        </w:rPr>
        <w:t xml:space="preserve"> ; </w:t>
      </w:r>
      <w:r w:rsidRPr="00914CF0">
        <w:rPr>
          <w:rStyle w:val="Accentuation"/>
          <w:i w:val="0"/>
          <w:sz w:val="24"/>
        </w:rPr>
        <w:t xml:space="preserve">n° 2001-454 DC, </w:t>
      </w:r>
      <w:r w:rsidRPr="00914CF0">
        <w:rPr>
          <w:sz w:val="24"/>
        </w:rPr>
        <w:t xml:space="preserve">17 janvier 2002, </w:t>
      </w:r>
      <w:r w:rsidRPr="00914CF0">
        <w:rPr>
          <w:i/>
          <w:iCs/>
          <w:sz w:val="24"/>
        </w:rPr>
        <w:t>Statut de la Corse II </w:t>
      </w:r>
      <w:r w:rsidRPr="00914CF0">
        <w:rPr>
          <w:iCs/>
          <w:sz w:val="24"/>
        </w:rPr>
        <w:t xml:space="preserve">; </w:t>
      </w:r>
      <w:r w:rsidRPr="00914CF0">
        <w:rPr>
          <w:sz w:val="24"/>
        </w:rPr>
        <w:t xml:space="preserve">n° 2009-587 DC, 30 juillet 2009, </w:t>
      </w:r>
      <w:r w:rsidRPr="00914CF0">
        <w:rPr>
          <w:i/>
          <w:sz w:val="24"/>
        </w:rPr>
        <w:t xml:space="preserve">Loi organique relative à l’évolution institutionnelle de la Nouvelle-Calédonie et à la départementalisation </w:t>
      </w:r>
      <w:r w:rsidRPr="008E56FE">
        <w:rPr>
          <w:i/>
          <w:sz w:val="24"/>
        </w:rPr>
        <w:t>de Mayotte</w:t>
      </w:r>
      <w:r w:rsidRPr="008E56FE">
        <w:rPr>
          <w:sz w:val="24"/>
        </w:rPr>
        <w:t xml:space="preserve"> ; n° </w:t>
      </w:r>
      <w:r w:rsidRPr="008E56FE">
        <w:rPr>
          <w:rStyle w:val="Accentuation"/>
          <w:i w:val="0"/>
          <w:sz w:val="24"/>
        </w:rPr>
        <w:t xml:space="preserve">2010-12 QPC, 2 juillet 2010, </w:t>
      </w:r>
      <w:r w:rsidRPr="008E56FE">
        <w:rPr>
          <w:rStyle w:val="Accentuation"/>
          <w:sz w:val="24"/>
        </w:rPr>
        <w:t>Commune de Dunkerque [Fusion de communes]</w:t>
      </w:r>
    </w:p>
    <w:p w14:paraId="6B4BA6AB" w14:textId="77777777" w:rsidR="005B2752" w:rsidRPr="00D866F4" w:rsidRDefault="005B2752" w:rsidP="005B2752">
      <w:pPr>
        <w:tabs>
          <w:tab w:val="left" w:pos="743"/>
        </w:tabs>
        <w:spacing w:line="340" w:lineRule="exact"/>
        <w:rPr>
          <w:sz w:val="24"/>
        </w:rPr>
      </w:pPr>
      <w:r w:rsidRPr="00D866F4">
        <w:rPr>
          <w:sz w:val="24"/>
        </w:rPr>
        <w:t xml:space="preserve">C.E., sect., 13 décembre 2006, </w:t>
      </w:r>
      <w:proofErr w:type="spellStart"/>
      <w:r w:rsidRPr="00D866F4">
        <w:rPr>
          <w:i/>
          <w:sz w:val="24"/>
        </w:rPr>
        <w:t>Genelle</w:t>
      </w:r>
      <w:proofErr w:type="spellEnd"/>
    </w:p>
    <w:p w14:paraId="5045D66C" w14:textId="77777777" w:rsidR="005B2752" w:rsidRDefault="005B2752" w:rsidP="005B2752">
      <w:pPr>
        <w:spacing w:line="340" w:lineRule="exact"/>
        <w:rPr>
          <w:sz w:val="24"/>
        </w:rPr>
      </w:pPr>
      <w:r w:rsidRPr="000060E0">
        <w:rPr>
          <w:sz w:val="24"/>
          <w:u w:val="single"/>
        </w:rPr>
        <w:t xml:space="preserve">Référence dans le </w:t>
      </w:r>
      <w:r w:rsidRPr="000060E0">
        <w:rPr>
          <w:i/>
          <w:sz w:val="24"/>
          <w:u w:val="single"/>
        </w:rPr>
        <w:t>Code constitutionnel </w:t>
      </w:r>
      <w:r w:rsidRPr="0095083A">
        <w:rPr>
          <w:sz w:val="24"/>
        </w:rPr>
        <w:t>:</w:t>
      </w:r>
      <w:r w:rsidRPr="001B2F38">
        <w:rPr>
          <w:sz w:val="24"/>
        </w:rPr>
        <w:t xml:space="preserve"> </w:t>
      </w:r>
      <w:r>
        <w:rPr>
          <w:sz w:val="24"/>
        </w:rPr>
        <w:t>sous art. 73 et 74 C., p. 1140 et s., sous art. 76 et 77 C., p. 1156 et s.</w:t>
      </w:r>
    </w:p>
    <w:p w14:paraId="223FC115" w14:textId="77777777" w:rsidR="005B2752" w:rsidRPr="00FC407D" w:rsidRDefault="005B2752" w:rsidP="005B2752">
      <w:pPr>
        <w:spacing w:line="340" w:lineRule="exact"/>
        <w:rPr>
          <w:sz w:val="24"/>
          <w:u w:val="single"/>
        </w:rPr>
      </w:pPr>
      <w:r w:rsidRPr="00FC407D">
        <w:rPr>
          <w:sz w:val="24"/>
          <w:u w:val="single"/>
        </w:rPr>
        <w:t>Références bibliographiques indicatives :</w:t>
      </w:r>
    </w:p>
    <w:p w14:paraId="02DEFFED" w14:textId="77777777" w:rsidR="005B2752" w:rsidRDefault="005B2752" w:rsidP="005B2752">
      <w:pPr>
        <w:spacing w:line="340" w:lineRule="exact"/>
        <w:rPr>
          <w:smallCaps/>
          <w:sz w:val="24"/>
        </w:rPr>
      </w:pPr>
      <w:proofErr w:type="spellStart"/>
      <w:r w:rsidRPr="00E6391A">
        <w:rPr>
          <w:rFonts w:eastAsia="MS Mincho"/>
          <w:smallCaps/>
          <w:kern w:val="24"/>
          <w:sz w:val="24"/>
          <w:lang w:bidi="ar-SA"/>
        </w:rPr>
        <w:t>Alcaraz</w:t>
      </w:r>
      <w:proofErr w:type="spellEnd"/>
      <w:r w:rsidRPr="00E6391A">
        <w:rPr>
          <w:rFonts w:eastAsia="MS Mincho"/>
          <w:kern w:val="1"/>
          <w:sz w:val="24"/>
          <w:lang w:bidi="ar-SA"/>
        </w:rPr>
        <w:t xml:space="preserve"> (H.), « Le principe de libre administration des collectivités territoriales dans la jurisprudence constitutionnelle après la révision constitutionnelle du 28 mars 2003. Illustration des limites du contrôle de constitutionnalité », </w:t>
      </w:r>
      <w:r w:rsidRPr="00E6391A">
        <w:rPr>
          <w:rFonts w:eastAsia="MS Mincho"/>
          <w:i/>
          <w:kern w:val="1"/>
          <w:sz w:val="24"/>
          <w:lang w:bidi="ar-SA"/>
        </w:rPr>
        <w:t>RFDA</w:t>
      </w:r>
      <w:r w:rsidRPr="00E6391A">
        <w:rPr>
          <w:rFonts w:eastAsia="MS Mincho"/>
          <w:kern w:val="1"/>
          <w:sz w:val="24"/>
          <w:lang w:bidi="ar-SA"/>
        </w:rPr>
        <w:t>, 2009, n° 3, pp. 497-714.</w:t>
      </w:r>
    </w:p>
    <w:p w14:paraId="400CCA8A" w14:textId="77777777" w:rsidR="005B2752" w:rsidRPr="00886151" w:rsidRDefault="005B2752" w:rsidP="005B2752">
      <w:pPr>
        <w:spacing w:line="340" w:lineRule="exact"/>
        <w:rPr>
          <w:smallCaps/>
          <w:sz w:val="24"/>
        </w:rPr>
      </w:pPr>
      <w:r>
        <w:rPr>
          <w:smallCaps/>
          <w:sz w:val="24"/>
        </w:rPr>
        <w:t xml:space="preserve">Brisson (J.-F.), </w:t>
      </w:r>
      <w:r w:rsidRPr="00886151">
        <w:rPr>
          <w:sz w:val="24"/>
        </w:rPr>
        <w:t xml:space="preserve">« La France est une République indivisible... son organisation est décentralisée », </w:t>
      </w:r>
      <w:r w:rsidRPr="00886151">
        <w:rPr>
          <w:i/>
          <w:sz w:val="24"/>
        </w:rPr>
        <w:t>RDP</w:t>
      </w:r>
      <w:r w:rsidRPr="00886151">
        <w:rPr>
          <w:sz w:val="24"/>
        </w:rPr>
        <w:t>, 2003, n° 1, pp. 111-114.</w:t>
      </w:r>
    </w:p>
    <w:p w14:paraId="45C2E6C1" w14:textId="77777777" w:rsidR="005B2752" w:rsidRDefault="005B2752" w:rsidP="005B2752">
      <w:pPr>
        <w:spacing w:line="340" w:lineRule="exact"/>
        <w:rPr>
          <w:sz w:val="24"/>
        </w:rPr>
      </w:pPr>
      <w:proofErr w:type="spellStart"/>
      <w:r w:rsidRPr="00886151">
        <w:rPr>
          <w:smallCaps/>
          <w:sz w:val="24"/>
        </w:rPr>
        <w:t>Dollat</w:t>
      </w:r>
      <w:proofErr w:type="spellEnd"/>
      <w:r w:rsidRPr="00886151">
        <w:rPr>
          <w:sz w:val="24"/>
        </w:rPr>
        <w:t xml:space="preserve"> (P.), « Le principe d'indivisibilité et la loi constitutionnelle du 28 mars 2003 relative à l'organisation décentralisée de la République française</w:t>
      </w:r>
      <w:r>
        <w:rPr>
          <w:sz w:val="24"/>
        </w:rPr>
        <w:t xml:space="preserve"> </w:t>
      </w:r>
      <w:r w:rsidRPr="00886151">
        <w:rPr>
          <w:sz w:val="24"/>
        </w:rPr>
        <w:t>: de l'État unitaire à l'État uni »</w:t>
      </w:r>
      <w:r>
        <w:rPr>
          <w:sz w:val="24"/>
        </w:rPr>
        <w:t xml:space="preserve">, </w:t>
      </w:r>
      <w:r>
        <w:rPr>
          <w:i/>
          <w:sz w:val="24"/>
        </w:rPr>
        <w:t>RFDA</w:t>
      </w:r>
      <w:r>
        <w:rPr>
          <w:sz w:val="24"/>
        </w:rPr>
        <w:t>, 2003, n° 4, pp. 670-677.</w:t>
      </w:r>
    </w:p>
    <w:p w14:paraId="611B43B1" w14:textId="77777777" w:rsidR="005B2752" w:rsidRPr="00886151" w:rsidRDefault="005B2752" w:rsidP="005B2752">
      <w:pPr>
        <w:spacing w:line="340" w:lineRule="exact"/>
        <w:rPr>
          <w:sz w:val="24"/>
        </w:rPr>
      </w:pPr>
      <w:proofErr w:type="spellStart"/>
      <w:r w:rsidRPr="005B2752">
        <w:rPr>
          <w:smallCaps/>
          <w:sz w:val="24"/>
        </w:rPr>
        <w:t>Magnon</w:t>
      </w:r>
      <w:proofErr w:type="spellEnd"/>
      <w:r w:rsidRPr="005B2752">
        <w:rPr>
          <w:smallCaps/>
          <w:sz w:val="24"/>
        </w:rPr>
        <w:t xml:space="preserve"> </w:t>
      </w:r>
      <w:r>
        <w:rPr>
          <w:sz w:val="24"/>
        </w:rPr>
        <w:t xml:space="preserve">(X.), </w:t>
      </w:r>
      <w:r w:rsidRPr="005B2752">
        <w:rPr>
          <w:sz w:val="24"/>
        </w:rPr>
        <w:t xml:space="preserve">« La question prioritaire de constitutionnalité, instrument de défense des libertés locales ? », in </w:t>
      </w:r>
      <w:r w:rsidRPr="005B2752">
        <w:rPr>
          <w:i/>
          <w:sz w:val="24"/>
        </w:rPr>
        <w:t xml:space="preserve">Le droit constitutionnel des collectivités territoriales. </w:t>
      </w:r>
      <w:proofErr w:type="spellStart"/>
      <w:r w:rsidRPr="005B2752">
        <w:rPr>
          <w:i/>
          <w:sz w:val="24"/>
        </w:rPr>
        <w:t>Etudes</w:t>
      </w:r>
      <w:proofErr w:type="spellEnd"/>
      <w:r w:rsidRPr="005B2752">
        <w:rPr>
          <w:i/>
          <w:sz w:val="24"/>
        </w:rPr>
        <w:t xml:space="preserve"> comparées</w:t>
      </w:r>
      <w:r w:rsidRPr="005B2752">
        <w:rPr>
          <w:sz w:val="24"/>
        </w:rPr>
        <w:t xml:space="preserve">, sous la direction d’A. </w:t>
      </w:r>
      <w:proofErr w:type="spellStart"/>
      <w:r w:rsidRPr="005B2752">
        <w:rPr>
          <w:sz w:val="24"/>
        </w:rPr>
        <w:t>Mecherfi</w:t>
      </w:r>
      <w:proofErr w:type="spellEnd"/>
      <w:r w:rsidRPr="005B2752">
        <w:rPr>
          <w:sz w:val="24"/>
        </w:rPr>
        <w:t>, REJMA, 2015, pp. 53-75.</w:t>
      </w:r>
    </w:p>
    <w:p w14:paraId="6E00C560" w14:textId="77777777" w:rsidR="005B2752" w:rsidRPr="007A7001" w:rsidRDefault="005B2752" w:rsidP="005B2752">
      <w:pPr>
        <w:spacing w:line="340" w:lineRule="exact"/>
        <w:rPr>
          <w:sz w:val="24"/>
        </w:rPr>
      </w:pPr>
      <w:r w:rsidRPr="007A7001">
        <w:rPr>
          <w:smallCaps/>
          <w:sz w:val="24"/>
        </w:rPr>
        <w:t>Marcou</w:t>
      </w:r>
      <w:r w:rsidRPr="007A7001">
        <w:rPr>
          <w:sz w:val="24"/>
        </w:rPr>
        <w:t xml:space="preserve"> (G.)</w:t>
      </w:r>
      <w:r>
        <w:rPr>
          <w:sz w:val="24"/>
        </w:rPr>
        <w:t>, « </w:t>
      </w:r>
      <w:r w:rsidRPr="007A7001">
        <w:rPr>
          <w:sz w:val="24"/>
        </w:rPr>
        <w:t>L’expérience française de régionalisation (la décentralisation régionale dans l’État unitaire)</w:t>
      </w:r>
      <w:r>
        <w:rPr>
          <w:sz w:val="24"/>
        </w:rPr>
        <w:t xml:space="preserve"> », in </w:t>
      </w:r>
      <w:r w:rsidRPr="007A7001">
        <w:rPr>
          <w:i/>
          <w:sz w:val="24"/>
        </w:rPr>
        <w:t xml:space="preserve">L'État de droit. Mélanges en l'honneur de Guy </w:t>
      </w:r>
      <w:proofErr w:type="spellStart"/>
      <w:r w:rsidRPr="007A7001">
        <w:rPr>
          <w:i/>
          <w:sz w:val="24"/>
        </w:rPr>
        <w:t>Braibant</w:t>
      </w:r>
      <w:proofErr w:type="spellEnd"/>
      <w:r>
        <w:rPr>
          <w:sz w:val="24"/>
        </w:rPr>
        <w:t>, Dalloz, 1996, pp. 505.</w:t>
      </w:r>
    </w:p>
    <w:p w14:paraId="2EA0D92E" w14:textId="77777777" w:rsidR="005B2752" w:rsidRDefault="005B2752" w:rsidP="005B2752">
      <w:pPr>
        <w:spacing w:line="340" w:lineRule="exact"/>
        <w:rPr>
          <w:sz w:val="24"/>
        </w:rPr>
      </w:pPr>
      <w:r w:rsidRPr="007A7001">
        <w:rPr>
          <w:smallCaps/>
          <w:sz w:val="24"/>
        </w:rPr>
        <w:t xml:space="preserve">Roux </w:t>
      </w:r>
      <w:r w:rsidRPr="007A7001">
        <w:rPr>
          <w:sz w:val="24"/>
        </w:rPr>
        <w:t xml:space="preserve">(A.), </w:t>
      </w:r>
      <w:proofErr w:type="spellStart"/>
      <w:r w:rsidRPr="007A7001">
        <w:rPr>
          <w:smallCaps/>
          <w:sz w:val="24"/>
        </w:rPr>
        <w:t>Scoffoni</w:t>
      </w:r>
      <w:proofErr w:type="spellEnd"/>
      <w:r w:rsidRPr="007A7001">
        <w:rPr>
          <w:sz w:val="24"/>
        </w:rPr>
        <w:t xml:space="preserve"> (G.), </w:t>
      </w:r>
      <w:r>
        <w:rPr>
          <w:sz w:val="24"/>
        </w:rPr>
        <w:t>« </w:t>
      </w:r>
      <w:r w:rsidRPr="007A7001">
        <w:rPr>
          <w:sz w:val="24"/>
        </w:rPr>
        <w:t>Autonomie régionale et formes de l’</w:t>
      </w:r>
      <w:proofErr w:type="spellStart"/>
      <w:r w:rsidRPr="007A7001">
        <w:rPr>
          <w:sz w:val="24"/>
        </w:rPr>
        <w:t>Etat</w:t>
      </w:r>
      <w:proofErr w:type="spellEnd"/>
      <w:r>
        <w:rPr>
          <w:sz w:val="24"/>
        </w:rPr>
        <w:t xml:space="preserve"> », in </w:t>
      </w:r>
      <w:r w:rsidRPr="007A7001">
        <w:rPr>
          <w:i/>
          <w:sz w:val="24"/>
        </w:rPr>
        <w:t>Mélanges en l'honneur de Louis Favoreu</w:t>
      </w:r>
      <w:r>
        <w:rPr>
          <w:i/>
          <w:sz w:val="24"/>
        </w:rPr>
        <w:t>.</w:t>
      </w:r>
      <w:r w:rsidRPr="007A7001">
        <w:rPr>
          <w:i/>
          <w:sz w:val="24"/>
        </w:rPr>
        <w:t xml:space="preserve"> Renouveau du droit constitutionnel</w:t>
      </w:r>
      <w:r>
        <w:rPr>
          <w:sz w:val="24"/>
        </w:rPr>
        <w:t>, Dalloz, 2007, pp. 895.</w:t>
      </w:r>
    </w:p>
    <w:p w14:paraId="6BB8835D" w14:textId="77777777" w:rsidR="005B2752" w:rsidRPr="007A7001" w:rsidRDefault="005B2752" w:rsidP="005B2752">
      <w:pPr>
        <w:spacing w:line="340" w:lineRule="exact"/>
        <w:rPr>
          <w:sz w:val="24"/>
        </w:rPr>
      </w:pPr>
    </w:p>
    <w:p w14:paraId="209475D5" w14:textId="77777777" w:rsidR="005B2752" w:rsidRPr="00395F4E" w:rsidRDefault="005B2752" w:rsidP="005B2752">
      <w:pPr>
        <w:spacing w:line="340" w:lineRule="exact"/>
        <w:rPr>
          <w:sz w:val="24"/>
        </w:rPr>
      </w:pPr>
      <w:r w:rsidRPr="00395F4E">
        <w:rPr>
          <w:i/>
          <w:sz w:val="24"/>
        </w:rPr>
        <w:t>Pro </w:t>
      </w:r>
      <w:r>
        <w:rPr>
          <w:sz w:val="24"/>
        </w:rPr>
        <w:t>: Un</w:t>
      </w:r>
      <w:r w:rsidRPr="00395F4E">
        <w:rPr>
          <w:sz w:val="24"/>
        </w:rPr>
        <w:t xml:space="preserve"> pouvoir législatif confié aux collectivités territoriales </w:t>
      </w:r>
    </w:p>
    <w:p w14:paraId="7A792758" w14:textId="77777777" w:rsidR="005B2752" w:rsidRPr="00395F4E" w:rsidRDefault="005B2752" w:rsidP="005B2752">
      <w:pPr>
        <w:spacing w:line="340" w:lineRule="exact"/>
        <w:rPr>
          <w:sz w:val="24"/>
        </w:rPr>
      </w:pPr>
      <w:r w:rsidRPr="00395F4E">
        <w:rPr>
          <w:i/>
          <w:sz w:val="24"/>
        </w:rPr>
        <w:t>Contra </w:t>
      </w:r>
      <w:r w:rsidRPr="00395F4E">
        <w:rPr>
          <w:sz w:val="24"/>
        </w:rPr>
        <w:t>: La France, « République indivisible »</w:t>
      </w:r>
    </w:p>
    <w:p w14:paraId="14E7594D" w14:textId="77777777" w:rsidR="005B2752" w:rsidRPr="0017551C" w:rsidRDefault="005B2752" w:rsidP="005B2752">
      <w:pPr>
        <w:spacing w:line="340" w:lineRule="exact"/>
        <w:rPr>
          <w:sz w:val="24"/>
        </w:rPr>
      </w:pPr>
    </w:p>
    <w:p w14:paraId="0A599C0B" w14:textId="77777777" w:rsidR="007D0D10" w:rsidRPr="00270890" w:rsidRDefault="00270890" w:rsidP="0098412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§ </w:t>
      </w:r>
      <w:r w:rsidR="005944CC" w:rsidRPr="00270890">
        <w:rPr>
          <w:rFonts w:ascii="Arial" w:hAnsi="Arial" w:cs="Arial"/>
          <w:b/>
          <w:sz w:val="24"/>
        </w:rPr>
        <w:t xml:space="preserve">VI - </w:t>
      </w:r>
      <w:r w:rsidR="007D0D10" w:rsidRPr="00270890">
        <w:rPr>
          <w:rFonts w:ascii="Arial" w:hAnsi="Arial" w:cs="Arial"/>
          <w:b/>
          <w:sz w:val="24"/>
        </w:rPr>
        <w:t>Le contrat</w:t>
      </w:r>
    </w:p>
    <w:p w14:paraId="2AC406E6" w14:textId="77777777" w:rsidR="005944CC" w:rsidRDefault="005944CC" w:rsidP="00984127">
      <w:pPr>
        <w:spacing w:line="240" w:lineRule="auto"/>
        <w:rPr>
          <w:sz w:val="24"/>
        </w:rPr>
      </w:pPr>
    </w:p>
    <w:p w14:paraId="3D49622C" w14:textId="77777777" w:rsidR="00270890" w:rsidRPr="00270890" w:rsidRDefault="001F5D7E" w:rsidP="0098412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270890" w:rsidRPr="00270890">
        <w:rPr>
          <w:rFonts w:ascii="Arial" w:hAnsi="Arial" w:cs="Arial"/>
          <w:sz w:val="24"/>
        </w:rPr>
        <w:t xml:space="preserve">°) </w:t>
      </w:r>
      <w:r w:rsidR="005B2752">
        <w:rPr>
          <w:rFonts w:ascii="Arial" w:hAnsi="Arial" w:cs="Arial"/>
          <w:sz w:val="24"/>
        </w:rPr>
        <w:t>Une source du droit orpheline de toute consécration constitutionnelle</w:t>
      </w:r>
    </w:p>
    <w:p w14:paraId="434809CD" w14:textId="77777777" w:rsidR="00270890" w:rsidRDefault="00270890" w:rsidP="00984127">
      <w:pPr>
        <w:spacing w:line="240" w:lineRule="auto"/>
        <w:rPr>
          <w:sz w:val="24"/>
        </w:rPr>
      </w:pPr>
    </w:p>
    <w:p w14:paraId="3DACD2D1" w14:textId="77777777" w:rsid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Pro</w:t>
      </w:r>
      <w:r>
        <w:rPr>
          <w:sz w:val="24"/>
        </w:rPr>
        <w:t> :</w:t>
      </w:r>
      <w:r w:rsidR="005B2752">
        <w:rPr>
          <w:sz w:val="24"/>
        </w:rPr>
        <w:t xml:space="preserve"> Une source du droit non reconnue par la Constitution</w:t>
      </w:r>
    </w:p>
    <w:p w14:paraId="2A20717F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Contra</w:t>
      </w:r>
      <w:r>
        <w:rPr>
          <w:sz w:val="24"/>
        </w:rPr>
        <w:t> :</w:t>
      </w:r>
      <w:r w:rsidR="005B2752">
        <w:rPr>
          <w:sz w:val="24"/>
        </w:rPr>
        <w:t xml:space="preserve"> La protection constitutionnelle indirecte du contrat</w:t>
      </w:r>
    </w:p>
    <w:p w14:paraId="39AED93F" w14:textId="77777777" w:rsidR="00270890" w:rsidRDefault="00270890" w:rsidP="00984127">
      <w:pPr>
        <w:spacing w:line="240" w:lineRule="auto"/>
        <w:rPr>
          <w:sz w:val="24"/>
        </w:rPr>
      </w:pPr>
    </w:p>
    <w:p w14:paraId="03D12400" w14:textId="77777777" w:rsidR="005944CC" w:rsidRPr="00270890" w:rsidRDefault="00270890" w:rsidP="00984127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§ </w:t>
      </w:r>
      <w:r w:rsidR="005944CC" w:rsidRPr="00270890">
        <w:rPr>
          <w:rFonts w:ascii="Arial" w:hAnsi="Arial" w:cs="Arial"/>
          <w:b/>
          <w:sz w:val="24"/>
        </w:rPr>
        <w:t>VII – La jurisprudence</w:t>
      </w:r>
    </w:p>
    <w:p w14:paraId="095ECCE0" w14:textId="77777777" w:rsidR="005944CC" w:rsidRDefault="005944CC" w:rsidP="00984127">
      <w:pPr>
        <w:spacing w:line="240" w:lineRule="auto"/>
        <w:rPr>
          <w:sz w:val="24"/>
        </w:rPr>
      </w:pPr>
    </w:p>
    <w:p w14:paraId="14E65BAF" w14:textId="77777777" w:rsidR="005944CC" w:rsidRPr="00270890" w:rsidRDefault="001F5D7E" w:rsidP="00984127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270890" w:rsidRPr="00270890">
        <w:rPr>
          <w:rFonts w:ascii="Arial" w:hAnsi="Arial" w:cs="Arial"/>
          <w:sz w:val="24"/>
        </w:rPr>
        <w:t>°</w:t>
      </w:r>
      <w:r w:rsidR="005944CC" w:rsidRPr="00270890">
        <w:rPr>
          <w:rFonts w:ascii="Arial" w:hAnsi="Arial" w:cs="Arial"/>
          <w:sz w:val="24"/>
        </w:rPr>
        <w:t>) Quelles normes juridiques sont-elles produites par la jurisprudence ?</w:t>
      </w:r>
    </w:p>
    <w:p w14:paraId="645805CA" w14:textId="77777777" w:rsidR="006F73C4" w:rsidRDefault="006F73C4" w:rsidP="00270890">
      <w:pPr>
        <w:spacing w:line="240" w:lineRule="auto"/>
        <w:rPr>
          <w:sz w:val="24"/>
        </w:rPr>
      </w:pPr>
    </w:p>
    <w:p w14:paraId="1FE2FF96" w14:textId="77777777" w:rsid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Pro</w:t>
      </w:r>
      <w:r>
        <w:rPr>
          <w:sz w:val="24"/>
        </w:rPr>
        <w:t> :</w:t>
      </w:r>
      <w:r w:rsidR="001F5D7E">
        <w:rPr>
          <w:sz w:val="24"/>
        </w:rPr>
        <w:t xml:space="preserve"> La jurisprudence produit des normes générales et abstraites</w:t>
      </w:r>
    </w:p>
    <w:p w14:paraId="6273D1DE" w14:textId="77777777" w:rsidR="00270890" w:rsidRPr="00270890" w:rsidRDefault="00270890" w:rsidP="00270890">
      <w:pPr>
        <w:spacing w:line="240" w:lineRule="auto"/>
        <w:rPr>
          <w:sz w:val="24"/>
        </w:rPr>
      </w:pPr>
      <w:r w:rsidRPr="00270890">
        <w:rPr>
          <w:i/>
          <w:sz w:val="24"/>
        </w:rPr>
        <w:t>Contra</w:t>
      </w:r>
      <w:r>
        <w:rPr>
          <w:sz w:val="24"/>
        </w:rPr>
        <w:t> :</w:t>
      </w:r>
      <w:r w:rsidR="001F5D7E">
        <w:rPr>
          <w:sz w:val="24"/>
        </w:rPr>
        <w:t xml:space="preserve"> La jurisprudence ne produit que des normes individuelles et concrètes.</w:t>
      </w:r>
    </w:p>
    <w:sectPr w:rsidR="00270890" w:rsidRPr="00270890" w:rsidSect="008C6C4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87BB" w14:textId="77777777" w:rsidR="009F10FC" w:rsidRDefault="009F10FC">
      <w:r>
        <w:separator/>
      </w:r>
    </w:p>
  </w:endnote>
  <w:endnote w:type="continuationSeparator" w:id="0">
    <w:p w14:paraId="406CB567" w14:textId="77777777" w:rsidR="009F10FC" w:rsidRDefault="009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F1BE" w14:textId="77777777" w:rsidR="009F10FC" w:rsidRDefault="009F10FC">
      <w:r>
        <w:separator/>
      </w:r>
    </w:p>
  </w:footnote>
  <w:footnote w:type="continuationSeparator" w:id="0">
    <w:p w14:paraId="3A6CAE81" w14:textId="77777777" w:rsidR="009F10FC" w:rsidRDefault="009F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E4D4" w14:textId="77777777" w:rsidR="00CE27DA" w:rsidRDefault="00CE27DA" w:rsidP="00A004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1E9660" w14:textId="77777777" w:rsidR="00CE27DA" w:rsidRDefault="00CE27DA" w:rsidP="008C6C4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79FF" w14:textId="77777777" w:rsidR="00CE27DA" w:rsidRDefault="00CE27DA" w:rsidP="00A004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5DEC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094E11FE" w14:textId="77777777" w:rsidR="00CE27DA" w:rsidRDefault="00CE27DA" w:rsidP="008C6C4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AAAB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42998"/>
    <w:multiLevelType w:val="hybridMultilevel"/>
    <w:tmpl w:val="822EC15C"/>
    <w:lvl w:ilvl="0" w:tplc="94200F40">
      <w:start w:val="2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0583"/>
    <w:multiLevelType w:val="hybridMultilevel"/>
    <w:tmpl w:val="6140587E"/>
    <w:lvl w:ilvl="0" w:tplc="292E22E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7E3C"/>
    <w:multiLevelType w:val="hybridMultilevel"/>
    <w:tmpl w:val="AD40DFC0"/>
    <w:lvl w:ilvl="0" w:tplc="7DACD4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2D0A11"/>
    <w:multiLevelType w:val="hybridMultilevel"/>
    <w:tmpl w:val="C5E2F264"/>
    <w:lvl w:ilvl="0" w:tplc="8766F506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Garamond" w:hAnsi="Garamond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D2D46"/>
    <w:multiLevelType w:val="hybridMultilevel"/>
    <w:tmpl w:val="65725F50"/>
    <w:lvl w:ilvl="0" w:tplc="B2202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C7D"/>
    <w:multiLevelType w:val="hybridMultilevel"/>
    <w:tmpl w:val="4A3C5CC2"/>
    <w:lvl w:ilvl="0" w:tplc="4A54095C">
      <w:start w:val="20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127"/>
    <w:rsid w:val="00001327"/>
    <w:rsid w:val="000060E0"/>
    <w:rsid w:val="000120DF"/>
    <w:rsid w:val="00023C21"/>
    <w:rsid w:val="00032674"/>
    <w:rsid w:val="0004124A"/>
    <w:rsid w:val="000455A2"/>
    <w:rsid w:val="00047B90"/>
    <w:rsid w:val="00052256"/>
    <w:rsid w:val="00065D0A"/>
    <w:rsid w:val="00072882"/>
    <w:rsid w:val="00072905"/>
    <w:rsid w:val="0007297F"/>
    <w:rsid w:val="000758D2"/>
    <w:rsid w:val="000804AE"/>
    <w:rsid w:val="00081473"/>
    <w:rsid w:val="000856C2"/>
    <w:rsid w:val="00097E6F"/>
    <w:rsid w:val="000A1C16"/>
    <w:rsid w:val="000A363B"/>
    <w:rsid w:val="000B6FC6"/>
    <w:rsid w:val="000C7BFB"/>
    <w:rsid w:val="000D6E95"/>
    <w:rsid w:val="000D728B"/>
    <w:rsid w:val="000E2703"/>
    <w:rsid w:val="000E6850"/>
    <w:rsid w:val="000E6F07"/>
    <w:rsid w:val="000F20F6"/>
    <w:rsid w:val="000F526E"/>
    <w:rsid w:val="00107FAD"/>
    <w:rsid w:val="00112010"/>
    <w:rsid w:val="00112177"/>
    <w:rsid w:val="001129E4"/>
    <w:rsid w:val="00114594"/>
    <w:rsid w:val="00114939"/>
    <w:rsid w:val="001164B9"/>
    <w:rsid w:val="00136EE2"/>
    <w:rsid w:val="00137E7C"/>
    <w:rsid w:val="001443AF"/>
    <w:rsid w:val="0014612B"/>
    <w:rsid w:val="00160823"/>
    <w:rsid w:val="00172048"/>
    <w:rsid w:val="0017551C"/>
    <w:rsid w:val="00192AE7"/>
    <w:rsid w:val="00195628"/>
    <w:rsid w:val="001A5140"/>
    <w:rsid w:val="001A6849"/>
    <w:rsid w:val="001B230B"/>
    <w:rsid w:val="001B2F38"/>
    <w:rsid w:val="001B45AF"/>
    <w:rsid w:val="001B52A1"/>
    <w:rsid w:val="001B5356"/>
    <w:rsid w:val="001B6FA1"/>
    <w:rsid w:val="001C0DB6"/>
    <w:rsid w:val="001C5DB9"/>
    <w:rsid w:val="001D0058"/>
    <w:rsid w:val="001D2C0A"/>
    <w:rsid w:val="001D626E"/>
    <w:rsid w:val="001E27B6"/>
    <w:rsid w:val="001E323C"/>
    <w:rsid w:val="001E57D9"/>
    <w:rsid w:val="001F1ECF"/>
    <w:rsid w:val="001F5D7E"/>
    <w:rsid w:val="002009DE"/>
    <w:rsid w:val="00201077"/>
    <w:rsid w:val="0020136B"/>
    <w:rsid w:val="00201393"/>
    <w:rsid w:val="00214D5C"/>
    <w:rsid w:val="00215956"/>
    <w:rsid w:val="0022073D"/>
    <w:rsid w:val="00223D14"/>
    <w:rsid w:val="00226638"/>
    <w:rsid w:val="00230614"/>
    <w:rsid w:val="00236263"/>
    <w:rsid w:val="0024741B"/>
    <w:rsid w:val="00251F73"/>
    <w:rsid w:val="002568EC"/>
    <w:rsid w:val="0026373C"/>
    <w:rsid w:val="00265B6A"/>
    <w:rsid w:val="0026632B"/>
    <w:rsid w:val="00270890"/>
    <w:rsid w:val="00273CD4"/>
    <w:rsid w:val="00276474"/>
    <w:rsid w:val="002777FD"/>
    <w:rsid w:val="00280281"/>
    <w:rsid w:val="0028096C"/>
    <w:rsid w:val="0028166B"/>
    <w:rsid w:val="00282764"/>
    <w:rsid w:val="00287FB2"/>
    <w:rsid w:val="0029443B"/>
    <w:rsid w:val="002A4ECA"/>
    <w:rsid w:val="002B5A69"/>
    <w:rsid w:val="002C35AA"/>
    <w:rsid w:val="002D032B"/>
    <w:rsid w:val="002D1545"/>
    <w:rsid w:val="002D3CA8"/>
    <w:rsid w:val="002E1F77"/>
    <w:rsid w:val="002E2FC1"/>
    <w:rsid w:val="002E4F5F"/>
    <w:rsid w:val="002E6D9C"/>
    <w:rsid w:val="002F26B9"/>
    <w:rsid w:val="002F2FD9"/>
    <w:rsid w:val="002F3B4A"/>
    <w:rsid w:val="002F4838"/>
    <w:rsid w:val="002F63A8"/>
    <w:rsid w:val="00300099"/>
    <w:rsid w:val="00300F96"/>
    <w:rsid w:val="00310EC2"/>
    <w:rsid w:val="00314CBF"/>
    <w:rsid w:val="00316D0B"/>
    <w:rsid w:val="003248F5"/>
    <w:rsid w:val="00333A36"/>
    <w:rsid w:val="00343546"/>
    <w:rsid w:val="00344850"/>
    <w:rsid w:val="00345833"/>
    <w:rsid w:val="003660AC"/>
    <w:rsid w:val="003671A2"/>
    <w:rsid w:val="00367439"/>
    <w:rsid w:val="003761EF"/>
    <w:rsid w:val="00385DBC"/>
    <w:rsid w:val="00395F4E"/>
    <w:rsid w:val="003B3B76"/>
    <w:rsid w:val="003B6DF5"/>
    <w:rsid w:val="003C397A"/>
    <w:rsid w:val="003D3F42"/>
    <w:rsid w:val="003E7A57"/>
    <w:rsid w:val="003F496D"/>
    <w:rsid w:val="00402030"/>
    <w:rsid w:val="0040777B"/>
    <w:rsid w:val="004077A2"/>
    <w:rsid w:val="00414CBC"/>
    <w:rsid w:val="004241FA"/>
    <w:rsid w:val="004271D8"/>
    <w:rsid w:val="0043304D"/>
    <w:rsid w:val="00447FF6"/>
    <w:rsid w:val="004512F5"/>
    <w:rsid w:val="00454817"/>
    <w:rsid w:val="00460AE8"/>
    <w:rsid w:val="00465B88"/>
    <w:rsid w:val="0046662B"/>
    <w:rsid w:val="0046750C"/>
    <w:rsid w:val="00467E06"/>
    <w:rsid w:val="0047070A"/>
    <w:rsid w:val="00470A4A"/>
    <w:rsid w:val="00483214"/>
    <w:rsid w:val="00494D5D"/>
    <w:rsid w:val="00497AC4"/>
    <w:rsid w:val="004A2EB2"/>
    <w:rsid w:val="004A5D97"/>
    <w:rsid w:val="004A73AE"/>
    <w:rsid w:val="004B513C"/>
    <w:rsid w:val="004B7B2E"/>
    <w:rsid w:val="004C007C"/>
    <w:rsid w:val="004C01B2"/>
    <w:rsid w:val="004C4E22"/>
    <w:rsid w:val="004C5104"/>
    <w:rsid w:val="004C515F"/>
    <w:rsid w:val="004D3EF4"/>
    <w:rsid w:val="004E2A2F"/>
    <w:rsid w:val="004E5CAC"/>
    <w:rsid w:val="004E6316"/>
    <w:rsid w:val="004E7A72"/>
    <w:rsid w:val="004F1FC5"/>
    <w:rsid w:val="004F3F01"/>
    <w:rsid w:val="004F4C43"/>
    <w:rsid w:val="004F701F"/>
    <w:rsid w:val="004F7DF5"/>
    <w:rsid w:val="00502C5B"/>
    <w:rsid w:val="00503388"/>
    <w:rsid w:val="0050539B"/>
    <w:rsid w:val="00505D8A"/>
    <w:rsid w:val="0051093F"/>
    <w:rsid w:val="00510D7C"/>
    <w:rsid w:val="00526538"/>
    <w:rsid w:val="00527C8D"/>
    <w:rsid w:val="005327DC"/>
    <w:rsid w:val="0053783B"/>
    <w:rsid w:val="005428EF"/>
    <w:rsid w:val="00542BC6"/>
    <w:rsid w:val="00544E94"/>
    <w:rsid w:val="0054536B"/>
    <w:rsid w:val="005476A8"/>
    <w:rsid w:val="00553F7C"/>
    <w:rsid w:val="00570602"/>
    <w:rsid w:val="0057251B"/>
    <w:rsid w:val="005944CC"/>
    <w:rsid w:val="005A3EB2"/>
    <w:rsid w:val="005A5974"/>
    <w:rsid w:val="005A6B59"/>
    <w:rsid w:val="005B1E18"/>
    <w:rsid w:val="005B2752"/>
    <w:rsid w:val="005B4D6F"/>
    <w:rsid w:val="005C71F4"/>
    <w:rsid w:val="005D0CE3"/>
    <w:rsid w:val="005D5CF6"/>
    <w:rsid w:val="005E237F"/>
    <w:rsid w:val="005E5096"/>
    <w:rsid w:val="005E7432"/>
    <w:rsid w:val="005F37D2"/>
    <w:rsid w:val="005F5110"/>
    <w:rsid w:val="00601C7D"/>
    <w:rsid w:val="00607C6E"/>
    <w:rsid w:val="00610BE9"/>
    <w:rsid w:val="006155FE"/>
    <w:rsid w:val="00617821"/>
    <w:rsid w:val="00620688"/>
    <w:rsid w:val="0062231C"/>
    <w:rsid w:val="0063016C"/>
    <w:rsid w:val="00630CBF"/>
    <w:rsid w:val="00635BC0"/>
    <w:rsid w:val="006410FF"/>
    <w:rsid w:val="00650745"/>
    <w:rsid w:val="00652ECC"/>
    <w:rsid w:val="00653338"/>
    <w:rsid w:val="00656E53"/>
    <w:rsid w:val="00656F96"/>
    <w:rsid w:val="0066251D"/>
    <w:rsid w:val="006645A4"/>
    <w:rsid w:val="00665322"/>
    <w:rsid w:val="00665E70"/>
    <w:rsid w:val="00666261"/>
    <w:rsid w:val="006664CA"/>
    <w:rsid w:val="006717F6"/>
    <w:rsid w:val="00674B0A"/>
    <w:rsid w:val="006800F8"/>
    <w:rsid w:val="006804E8"/>
    <w:rsid w:val="00681B6B"/>
    <w:rsid w:val="00685156"/>
    <w:rsid w:val="006907AD"/>
    <w:rsid w:val="00691014"/>
    <w:rsid w:val="00694CA1"/>
    <w:rsid w:val="006A729F"/>
    <w:rsid w:val="006B0733"/>
    <w:rsid w:val="006B24D6"/>
    <w:rsid w:val="006B5D5F"/>
    <w:rsid w:val="006D1586"/>
    <w:rsid w:val="006E0F36"/>
    <w:rsid w:val="006E145B"/>
    <w:rsid w:val="006E4546"/>
    <w:rsid w:val="006E6B7F"/>
    <w:rsid w:val="006E722C"/>
    <w:rsid w:val="006F73C4"/>
    <w:rsid w:val="00704CEE"/>
    <w:rsid w:val="00715EAF"/>
    <w:rsid w:val="00725420"/>
    <w:rsid w:val="007273DF"/>
    <w:rsid w:val="00735C56"/>
    <w:rsid w:val="00736AF4"/>
    <w:rsid w:val="0074003F"/>
    <w:rsid w:val="00741F3C"/>
    <w:rsid w:val="007474EC"/>
    <w:rsid w:val="00747985"/>
    <w:rsid w:val="00751F72"/>
    <w:rsid w:val="00760B36"/>
    <w:rsid w:val="0076608A"/>
    <w:rsid w:val="00776C44"/>
    <w:rsid w:val="007846A7"/>
    <w:rsid w:val="007867E3"/>
    <w:rsid w:val="00787A34"/>
    <w:rsid w:val="00793D7F"/>
    <w:rsid w:val="00797005"/>
    <w:rsid w:val="007A5CB6"/>
    <w:rsid w:val="007A6887"/>
    <w:rsid w:val="007A6DEB"/>
    <w:rsid w:val="007B0FDB"/>
    <w:rsid w:val="007B48B2"/>
    <w:rsid w:val="007D0661"/>
    <w:rsid w:val="007D0D10"/>
    <w:rsid w:val="007E04A2"/>
    <w:rsid w:val="007E0EDC"/>
    <w:rsid w:val="007E602E"/>
    <w:rsid w:val="00800E6C"/>
    <w:rsid w:val="00805275"/>
    <w:rsid w:val="008112AB"/>
    <w:rsid w:val="008131F3"/>
    <w:rsid w:val="008155FA"/>
    <w:rsid w:val="0081663F"/>
    <w:rsid w:val="00817BDC"/>
    <w:rsid w:val="00817C65"/>
    <w:rsid w:val="00823801"/>
    <w:rsid w:val="008321B5"/>
    <w:rsid w:val="008420E5"/>
    <w:rsid w:val="0084672E"/>
    <w:rsid w:val="008663EF"/>
    <w:rsid w:val="008719B3"/>
    <w:rsid w:val="008719F1"/>
    <w:rsid w:val="00871FB8"/>
    <w:rsid w:val="00873056"/>
    <w:rsid w:val="00875DE1"/>
    <w:rsid w:val="008808B5"/>
    <w:rsid w:val="00880FCB"/>
    <w:rsid w:val="00885DA3"/>
    <w:rsid w:val="0089588E"/>
    <w:rsid w:val="008A2960"/>
    <w:rsid w:val="008A5543"/>
    <w:rsid w:val="008B29BC"/>
    <w:rsid w:val="008B39B1"/>
    <w:rsid w:val="008B7288"/>
    <w:rsid w:val="008B7D1F"/>
    <w:rsid w:val="008C176D"/>
    <w:rsid w:val="008C4BD8"/>
    <w:rsid w:val="008C6C41"/>
    <w:rsid w:val="008E1E53"/>
    <w:rsid w:val="008E48E6"/>
    <w:rsid w:val="008E56FE"/>
    <w:rsid w:val="008E6681"/>
    <w:rsid w:val="008E6B62"/>
    <w:rsid w:val="008F358A"/>
    <w:rsid w:val="009005F4"/>
    <w:rsid w:val="0090713F"/>
    <w:rsid w:val="00911405"/>
    <w:rsid w:val="00914CF0"/>
    <w:rsid w:val="00914FE1"/>
    <w:rsid w:val="00920682"/>
    <w:rsid w:val="00924080"/>
    <w:rsid w:val="00925D07"/>
    <w:rsid w:val="00927E08"/>
    <w:rsid w:val="009318FD"/>
    <w:rsid w:val="009455B0"/>
    <w:rsid w:val="00946255"/>
    <w:rsid w:val="0095083A"/>
    <w:rsid w:val="00952652"/>
    <w:rsid w:val="0097319D"/>
    <w:rsid w:val="0097600E"/>
    <w:rsid w:val="00976149"/>
    <w:rsid w:val="009838DB"/>
    <w:rsid w:val="00984127"/>
    <w:rsid w:val="00984A87"/>
    <w:rsid w:val="00985256"/>
    <w:rsid w:val="009922E4"/>
    <w:rsid w:val="009928D1"/>
    <w:rsid w:val="00994F3A"/>
    <w:rsid w:val="009A2DF7"/>
    <w:rsid w:val="009A3C29"/>
    <w:rsid w:val="009B3990"/>
    <w:rsid w:val="009B3E6F"/>
    <w:rsid w:val="009B64C3"/>
    <w:rsid w:val="009C6C7C"/>
    <w:rsid w:val="009C6EB1"/>
    <w:rsid w:val="009D6FDC"/>
    <w:rsid w:val="009D76B2"/>
    <w:rsid w:val="009D787E"/>
    <w:rsid w:val="009E0549"/>
    <w:rsid w:val="009E13F0"/>
    <w:rsid w:val="009F10FC"/>
    <w:rsid w:val="009F2126"/>
    <w:rsid w:val="009F2253"/>
    <w:rsid w:val="009F6125"/>
    <w:rsid w:val="009F6EA7"/>
    <w:rsid w:val="00A00479"/>
    <w:rsid w:val="00A00778"/>
    <w:rsid w:val="00A101CB"/>
    <w:rsid w:val="00A11A23"/>
    <w:rsid w:val="00A23156"/>
    <w:rsid w:val="00A2670F"/>
    <w:rsid w:val="00A27998"/>
    <w:rsid w:val="00A3265F"/>
    <w:rsid w:val="00A400FC"/>
    <w:rsid w:val="00A42186"/>
    <w:rsid w:val="00A437F8"/>
    <w:rsid w:val="00A452E2"/>
    <w:rsid w:val="00A47B52"/>
    <w:rsid w:val="00A60F09"/>
    <w:rsid w:val="00A67311"/>
    <w:rsid w:val="00A67F67"/>
    <w:rsid w:val="00A70756"/>
    <w:rsid w:val="00A70E65"/>
    <w:rsid w:val="00A714C2"/>
    <w:rsid w:val="00A842E3"/>
    <w:rsid w:val="00A87FF4"/>
    <w:rsid w:val="00A977CF"/>
    <w:rsid w:val="00AB0593"/>
    <w:rsid w:val="00AB1FBD"/>
    <w:rsid w:val="00AB55FE"/>
    <w:rsid w:val="00AC12A8"/>
    <w:rsid w:val="00AC45FB"/>
    <w:rsid w:val="00AD20C8"/>
    <w:rsid w:val="00AD4FDC"/>
    <w:rsid w:val="00AE5A07"/>
    <w:rsid w:val="00AE5F53"/>
    <w:rsid w:val="00AF369B"/>
    <w:rsid w:val="00AF3D40"/>
    <w:rsid w:val="00B021F2"/>
    <w:rsid w:val="00B071EE"/>
    <w:rsid w:val="00B132C2"/>
    <w:rsid w:val="00B14A04"/>
    <w:rsid w:val="00B27219"/>
    <w:rsid w:val="00B3103D"/>
    <w:rsid w:val="00B32BDD"/>
    <w:rsid w:val="00B3340A"/>
    <w:rsid w:val="00B33781"/>
    <w:rsid w:val="00B339EB"/>
    <w:rsid w:val="00B44C51"/>
    <w:rsid w:val="00B463B2"/>
    <w:rsid w:val="00B474D4"/>
    <w:rsid w:val="00B557DD"/>
    <w:rsid w:val="00B61A61"/>
    <w:rsid w:val="00B62AD7"/>
    <w:rsid w:val="00B62F06"/>
    <w:rsid w:val="00B64C10"/>
    <w:rsid w:val="00B67521"/>
    <w:rsid w:val="00B74073"/>
    <w:rsid w:val="00B7641E"/>
    <w:rsid w:val="00B83526"/>
    <w:rsid w:val="00B848EA"/>
    <w:rsid w:val="00B86527"/>
    <w:rsid w:val="00B874D9"/>
    <w:rsid w:val="00B9091C"/>
    <w:rsid w:val="00B91EB2"/>
    <w:rsid w:val="00B926F2"/>
    <w:rsid w:val="00B928A7"/>
    <w:rsid w:val="00B94E68"/>
    <w:rsid w:val="00BA0581"/>
    <w:rsid w:val="00BA2896"/>
    <w:rsid w:val="00BA2EED"/>
    <w:rsid w:val="00BA3E3B"/>
    <w:rsid w:val="00BA680D"/>
    <w:rsid w:val="00BB1C23"/>
    <w:rsid w:val="00BB2485"/>
    <w:rsid w:val="00BB3421"/>
    <w:rsid w:val="00BC0172"/>
    <w:rsid w:val="00BC0985"/>
    <w:rsid w:val="00BD6B3A"/>
    <w:rsid w:val="00BE0825"/>
    <w:rsid w:val="00BE0A73"/>
    <w:rsid w:val="00BF003F"/>
    <w:rsid w:val="00BF28A6"/>
    <w:rsid w:val="00BF39E5"/>
    <w:rsid w:val="00BF3BEF"/>
    <w:rsid w:val="00BF3E50"/>
    <w:rsid w:val="00C03E28"/>
    <w:rsid w:val="00C04528"/>
    <w:rsid w:val="00C07709"/>
    <w:rsid w:val="00C14F9C"/>
    <w:rsid w:val="00C20A7A"/>
    <w:rsid w:val="00C20D52"/>
    <w:rsid w:val="00C2665C"/>
    <w:rsid w:val="00C27A56"/>
    <w:rsid w:val="00C3093A"/>
    <w:rsid w:val="00C30D3D"/>
    <w:rsid w:val="00C31504"/>
    <w:rsid w:val="00C3405F"/>
    <w:rsid w:val="00C40ED4"/>
    <w:rsid w:val="00C44EC7"/>
    <w:rsid w:val="00C60BFD"/>
    <w:rsid w:val="00C66FA7"/>
    <w:rsid w:val="00C70AE3"/>
    <w:rsid w:val="00C746CD"/>
    <w:rsid w:val="00C91D61"/>
    <w:rsid w:val="00C94608"/>
    <w:rsid w:val="00CA4286"/>
    <w:rsid w:val="00CA4BFE"/>
    <w:rsid w:val="00CB1671"/>
    <w:rsid w:val="00CB49AD"/>
    <w:rsid w:val="00CB4B38"/>
    <w:rsid w:val="00CB4CFA"/>
    <w:rsid w:val="00CB515A"/>
    <w:rsid w:val="00CC33C1"/>
    <w:rsid w:val="00CC533B"/>
    <w:rsid w:val="00CD1008"/>
    <w:rsid w:val="00CD3B9D"/>
    <w:rsid w:val="00CE27DA"/>
    <w:rsid w:val="00CE31BE"/>
    <w:rsid w:val="00CF3BB9"/>
    <w:rsid w:val="00CF4EAE"/>
    <w:rsid w:val="00D0498D"/>
    <w:rsid w:val="00D06882"/>
    <w:rsid w:val="00D06C71"/>
    <w:rsid w:val="00D06F4C"/>
    <w:rsid w:val="00D076EA"/>
    <w:rsid w:val="00D10C36"/>
    <w:rsid w:val="00D10F1F"/>
    <w:rsid w:val="00D1389F"/>
    <w:rsid w:val="00D20B74"/>
    <w:rsid w:val="00D2496A"/>
    <w:rsid w:val="00D4016C"/>
    <w:rsid w:val="00D40426"/>
    <w:rsid w:val="00D40866"/>
    <w:rsid w:val="00D46E1F"/>
    <w:rsid w:val="00D52D06"/>
    <w:rsid w:val="00D52DB5"/>
    <w:rsid w:val="00D57970"/>
    <w:rsid w:val="00D61152"/>
    <w:rsid w:val="00D67986"/>
    <w:rsid w:val="00D723D5"/>
    <w:rsid w:val="00D73827"/>
    <w:rsid w:val="00D73FEB"/>
    <w:rsid w:val="00D75609"/>
    <w:rsid w:val="00D75FD1"/>
    <w:rsid w:val="00D83236"/>
    <w:rsid w:val="00D866F4"/>
    <w:rsid w:val="00D93435"/>
    <w:rsid w:val="00DC2EF7"/>
    <w:rsid w:val="00DC317F"/>
    <w:rsid w:val="00DC41D3"/>
    <w:rsid w:val="00DC45E4"/>
    <w:rsid w:val="00DD2980"/>
    <w:rsid w:val="00DD59A6"/>
    <w:rsid w:val="00DE1579"/>
    <w:rsid w:val="00DE66EE"/>
    <w:rsid w:val="00DE69A9"/>
    <w:rsid w:val="00DF4989"/>
    <w:rsid w:val="00DF5A4A"/>
    <w:rsid w:val="00E03A81"/>
    <w:rsid w:val="00E05EAF"/>
    <w:rsid w:val="00E073E0"/>
    <w:rsid w:val="00E10169"/>
    <w:rsid w:val="00E1040F"/>
    <w:rsid w:val="00E14BD8"/>
    <w:rsid w:val="00E14CBB"/>
    <w:rsid w:val="00E14DEB"/>
    <w:rsid w:val="00E2241D"/>
    <w:rsid w:val="00E26592"/>
    <w:rsid w:val="00E30745"/>
    <w:rsid w:val="00E40F14"/>
    <w:rsid w:val="00E44658"/>
    <w:rsid w:val="00E455DF"/>
    <w:rsid w:val="00E47673"/>
    <w:rsid w:val="00E50436"/>
    <w:rsid w:val="00E51CA1"/>
    <w:rsid w:val="00E64D56"/>
    <w:rsid w:val="00E7148A"/>
    <w:rsid w:val="00E7514E"/>
    <w:rsid w:val="00E758A3"/>
    <w:rsid w:val="00E8279C"/>
    <w:rsid w:val="00E85821"/>
    <w:rsid w:val="00E85DEC"/>
    <w:rsid w:val="00E85F73"/>
    <w:rsid w:val="00E868ED"/>
    <w:rsid w:val="00E932F6"/>
    <w:rsid w:val="00E938F7"/>
    <w:rsid w:val="00EA206E"/>
    <w:rsid w:val="00EA5BEA"/>
    <w:rsid w:val="00EB7B35"/>
    <w:rsid w:val="00EC4E94"/>
    <w:rsid w:val="00EC5758"/>
    <w:rsid w:val="00ED1FF7"/>
    <w:rsid w:val="00ED2BAE"/>
    <w:rsid w:val="00ED3071"/>
    <w:rsid w:val="00ED6513"/>
    <w:rsid w:val="00ED6EF6"/>
    <w:rsid w:val="00ED752F"/>
    <w:rsid w:val="00EE008A"/>
    <w:rsid w:val="00EE502C"/>
    <w:rsid w:val="00EF0516"/>
    <w:rsid w:val="00EF78E3"/>
    <w:rsid w:val="00EF7FD0"/>
    <w:rsid w:val="00F0012C"/>
    <w:rsid w:val="00F03DCE"/>
    <w:rsid w:val="00F14549"/>
    <w:rsid w:val="00F1651C"/>
    <w:rsid w:val="00F22167"/>
    <w:rsid w:val="00F2677D"/>
    <w:rsid w:val="00F274B7"/>
    <w:rsid w:val="00F2759F"/>
    <w:rsid w:val="00F35B9A"/>
    <w:rsid w:val="00F36073"/>
    <w:rsid w:val="00F42C34"/>
    <w:rsid w:val="00F4420C"/>
    <w:rsid w:val="00F44AEB"/>
    <w:rsid w:val="00F53F28"/>
    <w:rsid w:val="00F5402D"/>
    <w:rsid w:val="00F61931"/>
    <w:rsid w:val="00F619FA"/>
    <w:rsid w:val="00F632A8"/>
    <w:rsid w:val="00F64175"/>
    <w:rsid w:val="00F66E9E"/>
    <w:rsid w:val="00F7208E"/>
    <w:rsid w:val="00F730F6"/>
    <w:rsid w:val="00F7325E"/>
    <w:rsid w:val="00F760B9"/>
    <w:rsid w:val="00F77623"/>
    <w:rsid w:val="00F83FEE"/>
    <w:rsid w:val="00F938B2"/>
    <w:rsid w:val="00F94FBD"/>
    <w:rsid w:val="00FA0C19"/>
    <w:rsid w:val="00FA18CF"/>
    <w:rsid w:val="00FA1C37"/>
    <w:rsid w:val="00FA1E33"/>
    <w:rsid w:val="00FA231B"/>
    <w:rsid w:val="00FA305B"/>
    <w:rsid w:val="00FB33B1"/>
    <w:rsid w:val="00FB3B85"/>
    <w:rsid w:val="00FB79F0"/>
    <w:rsid w:val="00FC0E02"/>
    <w:rsid w:val="00FC4C87"/>
    <w:rsid w:val="00FD12E5"/>
    <w:rsid w:val="00FD60E1"/>
    <w:rsid w:val="00FD782E"/>
    <w:rsid w:val="00FE52D2"/>
    <w:rsid w:val="00FF1473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FC54"/>
  <w15:chartTrackingRefBased/>
  <w15:docId w15:val="{3B36E749-D522-44A5-A18A-2A5A557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4127"/>
    <w:pPr>
      <w:spacing w:line="480" w:lineRule="auto"/>
      <w:jc w:val="both"/>
    </w:pPr>
    <w:rPr>
      <w:rFonts w:ascii="Garamond" w:hAnsi="Garamond"/>
      <w:sz w:val="30"/>
      <w:szCs w:val="24"/>
      <w:lang w:eastAsia="fr-FR" w:bidi="he-IL"/>
    </w:rPr>
  </w:style>
  <w:style w:type="paragraph" w:styleId="Titre1">
    <w:name w:val="heading 1"/>
    <w:basedOn w:val="Normal"/>
    <w:qFormat/>
    <w:rsid w:val="002B5A69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paragraph" w:styleId="Titre2">
    <w:name w:val="heading 2"/>
    <w:basedOn w:val="Normal"/>
    <w:next w:val="Normal"/>
    <w:qFormat/>
    <w:rsid w:val="00553F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C4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984127"/>
    <w:pPr>
      <w:spacing w:before="240" w:after="60" w:line="240" w:lineRule="auto"/>
      <w:jc w:val="left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elnotedebasdepage">
    <w:name w:val="Appel note de bas de page"/>
    <w:basedOn w:val="Normal"/>
    <w:rPr>
      <w:vertAlign w:val="superscript"/>
    </w:rPr>
  </w:style>
  <w:style w:type="paragraph" w:styleId="Notedebasdepage">
    <w:name w:val="footnote text"/>
    <w:basedOn w:val="Normal"/>
    <w:link w:val="NotedebasdepageCar"/>
    <w:semiHidden/>
    <w:pPr>
      <w:spacing w:before="120" w:after="120" w:line="240" w:lineRule="auto"/>
      <w:ind w:left="709" w:hanging="709"/>
    </w:pPr>
    <w:rPr>
      <w:sz w:val="18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normal--char">
    <w:name w:val="normal--char"/>
    <w:basedOn w:val="Policepardfaut"/>
    <w:rsid w:val="001F1ECF"/>
  </w:style>
  <w:style w:type="character" w:customStyle="1" w:styleId="hse-match">
    <w:name w:val="hse-match"/>
    <w:basedOn w:val="Policepardfaut"/>
    <w:rsid w:val="00114594"/>
  </w:style>
  <w:style w:type="paragraph" w:styleId="NormalWeb">
    <w:name w:val="Normal (Web)"/>
    <w:basedOn w:val="Normal"/>
    <w:rsid w:val="006907A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bidi="ar-SA"/>
    </w:rPr>
  </w:style>
  <w:style w:type="paragraph" w:customStyle="1" w:styleId="defecto">
    <w:name w:val="defecto"/>
    <w:basedOn w:val="Normal"/>
    <w:rsid w:val="00E2241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9"/>
      <w:szCs w:val="9"/>
      <w:lang w:bidi="ar-SA"/>
    </w:rPr>
  </w:style>
  <w:style w:type="paragraph" w:customStyle="1" w:styleId="defectonegrita">
    <w:name w:val="defectonegrita"/>
    <w:basedOn w:val="Normal"/>
    <w:rsid w:val="00E2241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330000"/>
      <w:sz w:val="9"/>
      <w:szCs w:val="9"/>
      <w:lang w:bidi="ar-SA"/>
    </w:rPr>
  </w:style>
  <w:style w:type="table" w:styleId="Grilledutableau">
    <w:name w:val="Table Grid"/>
    <w:basedOn w:val="TableauNormal"/>
    <w:rsid w:val="000A363B"/>
    <w:pPr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1">
    <w:name w:val="article1"/>
    <w:rsid w:val="000C7BFB"/>
    <w:rPr>
      <w:b/>
      <w:bCs/>
      <w:i w:val="0"/>
      <w:iCs w:val="0"/>
      <w:vanish w:val="0"/>
      <w:webHidden w:val="0"/>
      <w:specVanish w:val="0"/>
    </w:rPr>
  </w:style>
  <w:style w:type="character" w:customStyle="1" w:styleId="f1">
    <w:name w:val="f1"/>
    <w:basedOn w:val="Policepardfaut"/>
    <w:rsid w:val="000C7BFB"/>
  </w:style>
  <w:style w:type="character" w:styleId="Lienhypertexte">
    <w:name w:val="Hyperlink"/>
    <w:rsid w:val="002B5A69"/>
    <w:rPr>
      <w:color w:val="0000FF"/>
      <w:u w:val="single"/>
    </w:rPr>
  </w:style>
  <w:style w:type="paragraph" w:customStyle="1" w:styleId="Notesdebasdepage">
    <w:name w:val="Notes de bas de page"/>
    <w:basedOn w:val="Titre1"/>
    <w:rsid w:val="002B5A69"/>
  </w:style>
  <w:style w:type="paragraph" w:styleId="Listepuces">
    <w:name w:val="List Bullet"/>
    <w:basedOn w:val="Normal"/>
    <w:rsid w:val="00DC317F"/>
    <w:pPr>
      <w:numPr>
        <w:numId w:val="5"/>
      </w:numPr>
    </w:pPr>
  </w:style>
  <w:style w:type="paragraph" w:customStyle="1" w:styleId="Default">
    <w:name w:val="Default"/>
    <w:rsid w:val="002D3CA8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character" w:styleId="lev">
    <w:name w:val="Strong"/>
    <w:qFormat/>
    <w:rsid w:val="002D3CA8"/>
    <w:rPr>
      <w:b/>
      <w:bCs/>
    </w:rPr>
  </w:style>
  <w:style w:type="paragraph" w:customStyle="1" w:styleId="jurisp">
    <w:name w:val="jurisp"/>
    <w:basedOn w:val="Normal"/>
    <w:link w:val="jurispCar"/>
    <w:rsid w:val="004E6316"/>
    <w:pPr>
      <w:spacing w:before="120" w:line="240" w:lineRule="auto"/>
      <w:ind w:left="709" w:hanging="709"/>
    </w:pPr>
    <w:rPr>
      <w:rFonts w:ascii="Times" w:hAnsi="Times" w:cs="Times"/>
      <w:sz w:val="20"/>
      <w:szCs w:val="20"/>
      <w:lang w:bidi="ar-SA"/>
    </w:rPr>
  </w:style>
  <w:style w:type="character" w:customStyle="1" w:styleId="jurispCar">
    <w:name w:val="jurisp Car"/>
    <w:link w:val="jurisp"/>
    <w:rsid w:val="004E6316"/>
    <w:rPr>
      <w:rFonts w:ascii="Times" w:hAnsi="Times" w:cs="Times"/>
      <w:lang w:val="fr-FR" w:eastAsia="fr-FR" w:bidi="ar-SA"/>
    </w:rPr>
  </w:style>
  <w:style w:type="paragraph" w:styleId="En-tte">
    <w:name w:val="header"/>
    <w:basedOn w:val="Normal"/>
    <w:rsid w:val="008C6C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6C41"/>
  </w:style>
  <w:style w:type="paragraph" w:customStyle="1" w:styleId="Notesdebasdepage0">
    <w:name w:val="Notes de bas  de page"/>
    <w:basedOn w:val="Default"/>
    <w:rsid w:val="00800E6C"/>
  </w:style>
  <w:style w:type="character" w:styleId="Accentuation">
    <w:name w:val="Emphasis"/>
    <w:qFormat/>
    <w:rsid w:val="00C44EC7"/>
    <w:rPr>
      <w:i/>
      <w:iCs/>
    </w:rPr>
  </w:style>
  <w:style w:type="paragraph" w:styleId="Textedebulles">
    <w:name w:val="Balloon Text"/>
    <w:basedOn w:val="Normal"/>
    <w:semiHidden/>
    <w:rsid w:val="00617821"/>
    <w:rPr>
      <w:rFonts w:ascii="Tahoma" w:hAnsi="Tahoma" w:cs="Tahoma"/>
      <w:sz w:val="16"/>
      <w:szCs w:val="16"/>
    </w:rPr>
  </w:style>
  <w:style w:type="character" w:customStyle="1" w:styleId="rdec">
    <w:name w:val="rdec"/>
    <w:rsid w:val="004E7A72"/>
    <w:rPr>
      <w:color w:val="993366"/>
    </w:rPr>
  </w:style>
  <w:style w:type="character" w:customStyle="1" w:styleId="surligne">
    <w:name w:val="surligne"/>
    <w:basedOn w:val="Policepardfaut"/>
    <w:rsid w:val="006E145B"/>
  </w:style>
  <w:style w:type="character" w:customStyle="1" w:styleId="highlightselected">
    <w:name w:val="highlight selected"/>
    <w:basedOn w:val="Policepardfaut"/>
    <w:rsid w:val="00B61A61"/>
  </w:style>
  <w:style w:type="character" w:customStyle="1" w:styleId="NotedebasdepageCar">
    <w:name w:val="Note de bas de page Car"/>
    <w:link w:val="Notedebasdepage"/>
    <w:rsid w:val="00CA4286"/>
    <w:rPr>
      <w:rFonts w:ascii="Garamond" w:hAnsi="Garamond"/>
      <w:sz w:val="18"/>
      <w:lang w:val="fr-FR" w:eastAsia="fr-FR" w:bidi="he-IL"/>
    </w:rPr>
  </w:style>
  <w:style w:type="character" w:customStyle="1" w:styleId="hl">
    <w:name w:val="hl"/>
    <w:rsid w:val="00B132C2"/>
  </w:style>
  <w:style w:type="paragraph" w:customStyle="1" w:styleId="TxBr6p23">
    <w:name w:val="TxBr_6p23"/>
    <w:basedOn w:val="Normal"/>
    <w:rsid w:val="00B132C2"/>
    <w:pPr>
      <w:tabs>
        <w:tab w:val="left" w:pos="283"/>
      </w:tabs>
      <w:spacing w:line="215" w:lineRule="atLeast"/>
      <w:ind w:firstLine="283"/>
    </w:pPr>
    <w:rPr>
      <w:rFonts w:ascii="Times New Roman" w:hAnsi="Times New Roman"/>
      <w:sz w:val="22"/>
      <w:lang w:bidi="ar-SA"/>
    </w:rPr>
  </w:style>
  <w:style w:type="paragraph" w:customStyle="1" w:styleId="Stylesansnom">
    <w:name w:val="Style sans nom"/>
    <w:next w:val="TM9"/>
    <w:rsid w:val="003C397A"/>
    <w:pPr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Garamond" w:hAnsi="Garamond"/>
      <w:sz w:val="24"/>
      <w:lang w:val="en-US" w:eastAsia="fr-FR"/>
    </w:rPr>
  </w:style>
  <w:style w:type="character" w:customStyle="1" w:styleId="st">
    <w:name w:val="st"/>
    <w:rsid w:val="003C397A"/>
  </w:style>
  <w:style w:type="paragraph" w:styleId="TM9">
    <w:name w:val="toc 9"/>
    <w:basedOn w:val="Normal"/>
    <w:next w:val="Normal"/>
    <w:autoRedefine/>
    <w:rsid w:val="003C397A"/>
    <w:pPr>
      <w:ind w:left="2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%20and%20Settings\xmagnon\Application%20Data\Microsoft\Mod&#232;les\Mod&#232;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Settings\xmagnon\Application Data\Microsoft\Modèles\Modèle Article.dot</Template>
  <TotalTime>1</TotalTime>
  <Pages>9</Pages>
  <Words>3053</Words>
  <Characters>15510</Characters>
  <Application>Microsoft Office Word</Application>
  <DocSecurity>0</DocSecurity>
  <Lines>969</Lines>
  <Paragraphs>807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jhguygyug</vt:lpstr>
    </vt:vector>
  </TitlesOfParts>
  <Company> 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jhguygyug</dc:title>
  <dc:subject/>
  <dc:creator>xmagnon</dc:creator>
  <cp:keywords/>
  <dc:description/>
  <cp:lastModifiedBy>Catherine SOULLIERE</cp:lastModifiedBy>
  <cp:revision>2</cp:revision>
  <cp:lastPrinted>2015-01-11T16:22:00Z</cp:lastPrinted>
  <dcterms:created xsi:type="dcterms:W3CDTF">2019-09-11T12:26:00Z</dcterms:created>
  <dcterms:modified xsi:type="dcterms:W3CDTF">2019-09-11T12:26:00Z</dcterms:modified>
</cp:coreProperties>
</file>